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87" w:rsidRPr="000E555F" w:rsidRDefault="000E555F" w:rsidP="000E555F">
      <w:pPr>
        <w:jc w:val="center"/>
        <w:rPr>
          <w:b/>
          <w:sz w:val="32"/>
          <w:szCs w:val="32"/>
        </w:rPr>
      </w:pPr>
      <w:r w:rsidRPr="000E555F">
        <w:rPr>
          <w:b/>
          <w:sz w:val="32"/>
          <w:szCs w:val="32"/>
        </w:rPr>
        <w:t>CLASE 18</w:t>
      </w:r>
      <w:bookmarkStart w:id="0" w:name="_GoBack"/>
      <w:bookmarkEnd w:id="0"/>
    </w:p>
    <w:p w:rsidR="000E555F" w:rsidRDefault="000E555F" w:rsidP="000E555F"/>
    <w:p w:rsidR="000E555F" w:rsidRPr="000E555F" w:rsidRDefault="000E555F" w:rsidP="000E555F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Ética informática: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Un </w:t>
      </w:r>
      <w:r w:rsidRPr="000E555F">
        <w:rPr>
          <w:rFonts w:ascii="Arial" w:eastAsia="Times New Roman" w:hAnsi="Arial" w:cs="Arial"/>
          <w:bCs/>
          <w:sz w:val="24"/>
          <w:szCs w:val="24"/>
          <w:lang w:eastAsia="es-CO"/>
        </w:rPr>
        <w:t>código ético</w:t>
      </w:r>
      <w:r w:rsidRPr="000E555F">
        <w:rPr>
          <w:rFonts w:ascii="Arial" w:eastAsia="Times New Roman" w:hAnsi="Arial" w:cs="Arial"/>
          <w:sz w:val="24"/>
          <w:szCs w:val="24"/>
          <w:lang w:eastAsia="es-CO"/>
        </w:rPr>
        <w:t> constituye una declaración expresa de los </w:t>
      </w:r>
      <w:r w:rsidRPr="000E555F">
        <w:rPr>
          <w:rFonts w:ascii="Arial" w:eastAsia="Times New Roman" w:hAnsi="Arial" w:cs="Arial"/>
          <w:bCs/>
          <w:sz w:val="24"/>
          <w:szCs w:val="24"/>
          <w:lang w:eastAsia="es-CO"/>
        </w:rPr>
        <w:t>valores y principios</w:t>
      </w:r>
      <w:r w:rsidRPr="000E555F">
        <w:rPr>
          <w:rFonts w:ascii="Arial" w:eastAsia="Times New Roman" w:hAnsi="Arial" w:cs="Arial"/>
          <w:sz w:val="24"/>
          <w:szCs w:val="24"/>
          <w:lang w:eastAsia="es-CO"/>
        </w:rPr>
        <w:t> que deben guiar la conducta de todos los profesionales que integran y colaboran con una Asociación para el desarrollo responsable de su actividad profesional, tanto en sus relaciones con sus empleadores, empleados, clientes, proveedores, instituciones públicas y privadas, colaboradores externos y la sociedad en general.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Generalmente se decide adoptar y promover el uso del </w:t>
      </w:r>
      <w:r w:rsidRPr="000E555F">
        <w:rPr>
          <w:rFonts w:ascii="Arial" w:eastAsia="Times New Roman" w:hAnsi="Arial" w:cs="Arial"/>
          <w:bCs/>
          <w:sz w:val="24"/>
          <w:szCs w:val="24"/>
          <w:lang w:eastAsia="es-CO"/>
        </w:rPr>
        <w:t>Código de Ética y Práctica Profesional</w:t>
      </w:r>
      <w:r w:rsidRPr="000E555F">
        <w:rPr>
          <w:rFonts w:ascii="Arial" w:eastAsia="Times New Roman" w:hAnsi="Arial" w:cs="Arial"/>
          <w:sz w:val="24"/>
          <w:szCs w:val="24"/>
          <w:lang w:eastAsia="es-CO"/>
        </w:rPr>
        <w:t> desarrollado por las asociaciones internacionales </w:t>
      </w:r>
      <w:hyperlink r:id="rId4" w:tgtFrame="_blank" w:history="1">
        <w:r w:rsidRPr="000E555F">
          <w:rPr>
            <w:rFonts w:ascii="Arial" w:eastAsia="Times New Roman" w:hAnsi="Arial" w:cs="Arial"/>
            <w:sz w:val="24"/>
            <w:szCs w:val="24"/>
            <w:lang w:eastAsia="es-CO"/>
          </w:rPr>
          <w:t>ACM</w:t>
        </w:r>
      </w:hyperlink>
      <w:r w:rsidRPr="000E555F">
        <w:rPr>
          <w:rFonts w:ascii="Arial" w:eastAsia="Times New Roman" w:hAnsi="Arial" w:cs="Arial"/>
          <w:sz w:val="24"/>
          <w:szCs w:val="24"/>
          <w:lang w:eastAsia="es-CO"/>
        </w:rPr>
        <w:t> e </w:t>
      </w:r>
      <w:hyperlink r:id="rId5" w:tgtFrame="_blank" w:history="1">
        <w:r w:rsidRPr="000E555F">
          <w:rPr>
            <w:rFonts w:ascii="Arial" w:eastAsia="Times New Roman" w:hAnsi="Arial" w:cs="Arial"/>
            <w:sz w:val="24"/>
            <w:szCs w:val="24"/>
            <w:lang w:eastAsia="es-CO"/>
          </w:rPr>
          <w:t xml:space="preserve">IEEE </w:t>
        </w:r>
        <w:proofErr w:type="spellStart"/>
        <w:r w:rsidRPr="000E555F">
          <w:rPr>
            <w:rFonts w:ascii="Arial" w:eastAsia="Times New Roman" w:hAnsi="Arial" w:cs="Arial"/>
            <w:sz w:val="24"/>
            <w:szCs w:val="24"/>
            <w:lang w:eastAsia="es-CO"/>
          </w:rPr>
          <w:t>Computer</w:t>
        </w:r>
        <w:proofErr w:type="spellEnd"/>
        <w:r w:rsidRPr="000E555F">
          <w:rPr>
            <w:rFonts w:ascii="Arial" w:eastAsia="Times New Roman" w:hAnsi="Arial" w:cs="Arial"/>
            <w:sz w:val="24"/>
            <w:szCs w:val="24"/>
            <w:lang w:eastAsia="es-CO"/>
          </w:rPr>
          <w:t xml:space="preserve"> </w:t>
        </w:r>
        <w:proofErr w:type="spellStart"/>
        <w:r w:rsidRPr="000E555F">
          <w:rPr>
            <w:rFonts w:ascii="Arial" w:eastAsia="Times New Roman" w:hAnsi="Arial" w:cs="Arial"/>
            <w:sz w:val="24"/>
            <w:szCs w:val="24"/>
            <w:lang w:eastAsia="es-CO"/>
          </w:rPr>
          <w:t>Society</w:t>
        </w:r>
        <w:proofErr w:type="spellEnd"/>
      </w:hyperlink>
      <w:r w:rsidRPr="000E555F">
        <w:rPr>
          <w:rFonts w:ascii="Arial" w:eastAsia="Times New Roman" w:hAnsi="Arial" w:cs="Arial"/>
          <w:sz w:val="24"/>
          <w:szCs w:val="24"/>
          <w:lang w:eastAsia="es-CO"/>
        </w:rPr>
        <w:t>, persiguiendo con ello la compatibilidad de las prácticas éticas de las principales sociedades relacionadas con la Ingeniería del Software y Tecnologías de Desarrollo de Software a nivel internacional.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0E555F" w:rsidRPr="000E555F" w:rsidRDefault="000E555F" w:rsidP="000E555F">
      <w:pPr>
        <w:shd w:val="clear" w:color="auto" w:fill="FFFFFF"/>
        <w:spacing w:after="360" w:line="240" w:lineRule="auto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Principios de la Ética Profesional.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Los ingenieros de software actúan en muchos ámbitos: sociedad, cliente y empresario, producto, profesión, juicio, administración, colegas y en lo personal.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La industria del software es la industria que involucra la investigación, desarrollo, distribución y comercialización de software.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En una economía global cada vez más fundada en la información y el conocimiento, el software es una herramienta decisiva para aumentar la productividad porque incorpora tecnologías y soluciones para los tipos de problemas más variados.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t>La producción de software y servicios es además una actividad económica cada vez más relevante, capaz de crear empleos calificados y generar divisas con la exportación de productos y servicios a distancia. Ello es posible a partir de los avances tecnológicos en las áreas de comunicaciones y arquitectura de sistemas de la última década.</w:t>
      </w:r>
    </w:p>
    <w:p w:rsidR="000E555F" w:rsidRPr="000E555F" w:rsidRDefault="000E555F" w:rsidP="000E55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E555F">
        <w:rPr>
          <w:rFonts w:ascii="Arial" w:eastAsia="Times New Roman" w:hAnsi="Arial" w:cs="Arial"/>
          <w:sz w:val="24"/>
          <w:szCs w:val="24"/>
          <w:lang w:eastAsia="es-CO"/>
        </w:rPr>
        <w:br/>
        <w:t>En las últimas dos décadas, en los países de América Latina, se han realizado importantes inversiones en educación superior e infraestructura de comunicaciones. Con la mayor disponibilidad de factores de producción a costos competitivos internacionalmente, surgen oportunidades para que los países de la región participen de una industria dinámica e intensiva en información y conocimiento.</w:t>
      </w:r>
    </w:p>
    <w:p w:rsidR="000E555F" w:rsidRPr="000E555F" w:rsidRDefault="000E555F" w:rsidP="000E555F">
      <w:pPr>
        <w:shd w:val="clear" w:color="auto" w:fill="FFFFFF"/>
        <w:spacing w:after="75" w:line="300" w:lineRule="atLeast"/>
        <w:rPr>
          <w:rFonts w:ascii="Arial" w:eastAsia="Times New Roman" w:hAnsi="Arial" w:cs="Arial"/>
          <w:sz w:val="24"/>
          <w:szCs w:val="24"/>
          <w:lang w:eastAsia="es-CO"/>
        </w:rPr>
      </w:pPr>
    </w:p>
    <w:p w:rsidR="000E555F" w:rsidRPr="000E555F" w:rsidRDefault="000E555F" w:rsidP="000E555F">
      <w:pPr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0E555F" w:rsidRPr="000E5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5F"/>
    <w:rsid w:val="000E555F"/>
    <w:rsid w:val="007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96C2D-E373-48EC-83CB-B872AF9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5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old">
    <w:name w:val="bold"/>
    <w:basedOn w:val="Fuentedeprrafopredeter"/>
    <w:rsid w:val="000E555F"/>
  </w:style>
  <w:style w:type="character" w:styleId="Hipervnculo">
    <w:name w:val="Hyperlink"/>
    <w:basedOn w:val="Fuentedeprrafopredeter"/>
    <w:uiPriority w:val="99"/>
    <w:semiHidden/>
    <w:unhideWhenUsed/>
    <w:rsid w:val="000E555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E555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mputer.org/" TargetMode="External"/><Relationship Id="rId4" Type="http://schemas.openxmlformats.org/officeDocument/2006/relationships/hyperlink" Target="http://www.ac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2021-05-14T16:12:00Z</dcterms:created>
  <dcterms:modified xsi:type="dcterms:W3CDTF">2021-05-14T16:16:00Z</dcterms:modified>
</cp:coreProperties>
</file>