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B5E20"/>
          <w:sz w:val="32"/>
        </w:rPr>
        <w:t>UML CLASS DIAGRAM &amp; OBJECT ARCHITECTURE</w:t>
      </w:r>
    </w:p>
    <w:p>
      <w:pPr>
        <w:spacing w:before="0" w:after="120"/>
      </w:pPr>
      <w:r>
        <w:rPr>
          <w:rFonts w:ascii="Segoe UI" w:hAnsi="Segoe UI"/>
          <w:i/>
          <w:color w:val="505050"/>
          <w:sz w:val="20"/>
        </w:rPr>
        <w:t>Object-Oriented Design, Domain Models, Service Abstractions, and Presentation Classes for FarmIn</w:t>
      </w:r>
    </w:p>
    <w:p>
      <w:pPr>
        <w:spacing w:before="0" w:after="280"/>
        <w:pBdr>
          <w:bottom w:val="single" w:sz="6" w:space="4" w:color="81C784"/>
        </w:pBdr>
      </w:pPr>
      <w:r>
        <w:rPr>
          <w:rFonts w:ascii="Segoe UI" w:hAnsi="Segoe UI"/>
          <w:color w:val="646464"/>
          <w:sz w:val="17"/>
        </w:rPr>
        <w:t>System: FarmIn (Farm-in-Ilocos)  |  Study: Rice Supply, Demand &amp; Price Forecasting  |  STI College Laoag</w:t>
      </w:r>
    </w:p>
    <w:p>
      <w:pPr>
        <w:keepNext/>
        <w:spacing w:before="280" w:after="80"/>
      </w:pPr>
      <w:r>
        <w:rPr>
          <w:rFonts w:ascii="Segoe UI" w:hAnsi="Segoe UI"/>
          <w:b/>
          <w:color w:val="1B5E20"/>
          <w:sz w:val="25"/>
        </w:rPr>
        <w:t>1. Object-Oriented Architecture Overview</w:t>
      </w:r>
    </w:p>
    <w:p>
      <w:pPr>
        <w:spacing w:before="0" w:after="80" w:line="250" w:lineRule="exact"/>
      </w:pPr>
      <w:r>
        <w:rPr>
          <w:rFonts w:ascii="Segoe UI" w:hAnsi="Segoe UI"/>
          <w:i w:val="0"/>
          <w:color w:val="323232"/>
          <w:sz w:val="19"/>
        </w:rPr>
        <w:t>The FarmIn client application is constructed using Dart and Flutter, implementing an object-oriented model-view-service pattern. Data parsing layers translate JSON payloads and Supabase PostgreSQL tuples into immutable domain model instances. Dedicated caching services encapsulate network volatility, while custom Canvas painters render mathematical curves and analytical meters natively.</w:t>
      </w:r>
    </w:p>
    <w:p>
      <w:pPr>
        <w:keepNext/>
        <w:spacing w:before="280" w:after="80"/>
      </w:pPr>
      <w:r>
        <w:rPr>
          <w:rFonts w:ascii="Segoe UI" w:hAnsi="Segoe UI"/>
          <w:b/>
          <w:color w:val="1B5E20"/>
          <w:sz w:val="25"/>
        </w:rPr>
        <w:t>2. High-Level Class Relationship Diagram</w:t>
      </w:r>
    </w:p>
    <w:p>
      <w:pPr>
        <w:spacing w:before="0" w:after="80" w:line="250" w:lineRule="exact"/>
      </w:pPr>
      <w:r>
        <w:rPr>
          <w:rFonts w:ascii="Segoe UI" w:hAnsi="Segoe UI"/>
          <w:i w:val="0"/>
          <w:color w:val="323232"/>
          <w:sz w:val="19"/>
        </w:rPr>
        <w:t>Figure 33 details the class hierarchy, showing associations, compositions, and dependencies between data models, UI widgets, and network service singletons.</w:t>
      </w:r>
    </w:p>
    <w:p>
      <w:pPr>
        <w:spacing w:before="80" w:after="160" w:line="210" w:lineRule="exact"/>
        <w:shd w:val="clear" w:color="auto" w:fill="F5F5F5"/>
        <w:pBdr>
          <w:left w:val="single" w:sz="18" w:space="6" w:color="2E7D32"/>
        </w:pBdr>
      </w:pPr>
      <w:r>
        <w:rPr>
          <w:rFonts w:ascii="Consolas" w:hAnsi="Consolas"/>
          <w:color w:val="212121"/>
          <w:sz w:val="16"/>
        </w:rPr>
        <w:t>+--------------------------------------------------------------------------------------------------+</w:t>
        <w:br/>
        <w:t>|                                    FARMIN UML CLASS DIAGRAM                                      |</w:t>
        <w:br/>
        <w:t>+--------------------------------------------------------------------------------------------------+</w:t>
        <w:br/>
        <w:br/>
        <w:t xml:space="preserve">                                     +----------------------+</w:t>
        <w:br/>
        <w:t xml:space="preserve">                                     |      FarmInApp       |</w:t>
        <w:br/>
        <w:t xml:space="preserve">                                     +----------------------+</w:t>
        <w:br/>
        <w:t xml:space="preserve">                                     | - _navKey: GlobalKey |</w:t>
        <w:br/>
        <w:t xml:space="preserve">                                     +----------------------+</w:t>
        <w:br/>
        <w:t xml:space="preserve">                                                |</w:t>
        <w:br/>
        <w:t xml:space="preserve">                                                v</w:t>
        <w:br/>
        <w:t xml:space="preserve">                                     +----------------------+</w:t>
        <w:br/>
        <w:t xml:space="preserve">                                     |       AuthGate       |</w:t>
        <w:br/>
        <w:t xml:space="preserve">                                     +----------------------+</w:t>
        <w:br/>
        <w:t xml:space="preserve">                                     | + build(): Widget    |</w:t>
        <w:br/>
        <w:t xml:space="preserve">                                     +----------------------+</w:t>
        <w:br/>
        <w:t xml:space="preserve">                                         /              \</w:t>
        <w:br/>
        <w:t xml:space="preserve">                     [ if session == null ]            [ if session != null ]</w:t>
        <w:br/>
        <w:t xml:space="preserve">                                       /                  \</w:t>
        <w:br/>
        <w:t xml:space="preserve">                                      v                    v</w:t>
        <w:br/>
        <w:t xml:space="preserve">                          +-------------------+    +--------------------+</w:t>
        <w:br/>
        <w:t xml:space="preserve">                          |    AuthScreen     |    |  NavigationShell   |</w:t>
        <w:br/>
        <w:t xml:space="preserve">                          +-------------------+    +--------------------+</w:t>
        <w:br/>
        <w:t xml:space="preserve">                          | - _isSignUp: bool |    | - _currentTab: int |</w:t>
        <w:br/>
        <w:t xml:space="preserve">                          | - _isLoading: bool|    | + currentUser: User|</w:t>
        <w:br/>
        <w:t xml:space="preserve">                          +-------------------+    +--------------------+</w:t>
        <w:br/>
        <w:t xml:space="preserve">                                                             |</w:t>
        <w:br/>
        <w:t xml:space="preserve">                      +-------------------+------------------+-------------------+</w:t>
        <w:br/>
        <w:t xml:space="preserve">                      |                   |                  |                   |</w:t>
        <w:br/>
        <w:t xml:space="preserve">                      v                   v                  v                   v</w:t>
        <w:br/>
        <w:t xml:space="preserve">             [MarketDashboard]    [PlantingCalendar]   [ ToolsHubWidget ]  [AccountProfile]</w:t>
        <w:br/>
        <w:t xml:space="preserve">                      |</w:t>
        <w:br/>
        <w:t xml:space="preserve">                      +----------------------------+</w:t>
        <w:br/>
        <w:t xml:space="preserve">                      |                            |</w:t>
        <w:br/>
        <w:t xml:space="preserve">                      v                            v</w:t>
        <w:br/>
        <w:t xml:space="preserve">            +--------------------+       +--------------------+</w:t>
        <w:br/>
        <w:t xml:space="preserve">            |    ForecastData    |       |   ProductionData   |</w:t>
        <w:br/>
        <w:t xml:space="preserve">            +--------------------+       +--------------------+</w:t>
        <w:br/>
        <w:t xml:space="preserve">            | + headlinePrice    |       | + quarterlyPoints  |</w:t>
        <w:br/>
        <w:t xml:space="preserve">            | + isRising: bool   |       | + smoothedBaseline |</w:t>
        <w:br/>
        <w:t xml:space="preserve">            | + peakPoint: Point |       | + latestDeviation  |</w:t>
        <w:br/>
        <w:t xml:space="preserve">            | + rankedByPrice()  |       | + status: Status   |</w:t>
        <w:br/>
        <w:t xml:space="preserve">            +--------------------+       +--------------------+</w:t>
        <w:br/>
        <w:t xml:space="preserve">                      |                            |</w:t>
        <w:br/>
        <w:t xml:space="preserve">                      v                            v</w:t>
        <w:br/>
        <w:t xml:space="preserve">            +--------------------+       +--------------------+</w:t>
        <w:br/>
        <w:t xml:space="preserve">            |   ForecastPoint    |       |  ProductionPoint   |</w:t>
        <w:br/>
        <w:t xml:space="preserve">            +--------------------+       +--------------------+</w:t>
        <w:br/>
        <w:t xml:space="preserve">            | + month: String    |       | + year: int        |</w:t>
        <w:br/>
        <w:t xml:space="preserve">            | + year: int        |       | + quarter: String  |</w:t>
        <w:br/>
        <w:t xml:space="preserve">            | + price: double    |       | + volumeMt: double |</w:t>
        <w:br/>
        <w:t xml:space="preserve">            +--------------------+       +--------------------+</w:t>
        <w:br/>
        <w:br/>
        <w:t xml:space="preserve">    ================================ SERVICES &amp; HELPERS ================================</w:t>
        <w:br/>
        <w:br/>
        <w:t xml:space="preserve">    +--------------------------+  +--------------------------+  +--------------------------+</w:t>
        <w:br/>
        <w:t xml:space="preserve">    |      ForecastCache       |  |     SupabaseClient       |  |   ForecastChartPainter   |</w:t>
        <w:br/>
        <w:t xml:space="preserve">    +--------------------------+  +--------------------------+  +--------------------------+</w:t>
        <w:br/>
        <w:t xml:space="preserve">    | + fetchForecast()        |  | + auth: GoTrueClient     |  | + points: List&lt;Point&gt;    |</w:t>
        <w:br/>
        <w:t xml:space="preserve">    | - _fetchLive(): Future   |  | + from(table): Query     |  | + isRising: bool         |</w:t>
        <w:br/>
        <w:t xml:space="preserve">    | - _readCache(): Future   |  | + rpc(fn): Function      |  | + paint(Canvas, Size)    |</w:t>
        <w:br/>
        <w:t xml:space="preserve">    +--------------------------+  +--------------------------+  +--------------------------+</w:t>
        <w:br/>
        <w:t>+--------------------------------------------------------------------------------------------------+</w:t>
      </w:r>
    </w:p>
    <w:p>
      <w:pPr>
        <w:keepNext/>
        <w:spacing w:before="200" w:after="60"/>
      </w:pPr>
      <w:r>
        <w:rPr>
          <w:rFonts w:ascii="Segoe UI" w:hAnsi="Segoe UI"/>
          <w:b/>
          <w:color w:val="2E7D32"/>
          <w:sz w:val="21"/>
        </w:rPr>
        <w:t>Mermaid Class Specification (For UML Modeling Tools)</w:t>
      </w:r>
    </w:p>
    <w:p>
      <w:pPr>
        <w:spacing w:before="80" w:after="160" w:line="210" w:lineRule="exact"/>
        <w:shd w:val="clear" w:color="auto" w:fill="F5F5F5"/>
        <w:pBdr>
          <w:left w:val="single" w:sz="18" w:space="6" w:color="2E7D32"/>
        </w:pBdr>
      </w:pPr>
      <w:r>
        <w:rPr>
          <w:rFonts w:ascii="Consolas" w:hAnsi="Consolas"/>
          <w:color w:val="212121"/>
          <w:sz w:val="16"/>
        </w:rPr>
        <w:t>classDiagram</w:t>
        <w:br/>
        <w:t xml:space="preserve">    class FarmInApp {</w:t>
        <w:br/>
        <w:t xml:space="preserve">        -GlobalKey navKey</w:t>
        <w:br/>
        <w:t xml:space="preserve">        -StreamSubscription authSub</w:t>
        <w:br/>
        <w:t xml:space="preserve">        +build(BuildContext context) Widget</w:t>
        <w:br/>
        <w:t xml:space="preserve">    }</w:t>
        <w:br/>
        <w:br/>
        <w:t xml:space="preserve">    class AuthGate {</w:t>
        <w:br/>
        <w:t xml:space="preserve">        +build(BuildContext context) Widget</w:t>
        <w:br/>
        <w:t xml:space="preserve">    }</w:t>
        <w:br/>
        <w:br/>
        <w:t xml:space="preserve">    class NavigationShell {</w:t>
        <w:br/>
        <w:t xml:space="preserve">        -int currentTab</w:t>
        <w:br/>
        <w:t xml:space="preserve">        +UserProfile currentUser</w:t>
        <w:br/>
        <w:t xml:space="preserve">        +build(BuildContext context) Widget</w:t>
        <w:br/>
        <w:t xml:space="preserve">    }</w:t>
        <w:br/>
        <w:br/>
        <w:t xml:space="preserve">    class ForecastData {</w:t>
        <w:br/>
        <w:t xml:space="preserve">        +double headlinePrice</w:t>
        <w:br/>
        <w:t xml:space="preserve">        +List~ForecastPoint~ forecastPoints</w:t>
        <w:br/>
        <w:t xml:space="preserve">        +List~ForecastPoint~ historyPoints</w:t>
        <w:br/>
        <w:t xml:space="preserve">        +MarketPrice marketPrice</w:t>
        <w:br/>
        <w:t xml:space="preserve">        +bool isConnected</w:t>
        <w:br/>
        <w:t xml:space="preserve">        +ForecastPoint peakPoint</w:t>
        <w:br/>
        <w:t xml:space="preserve">        +ForecastPoint lowPoint</w:t>
        <w:br/>
        <w:t xml:space="preserve">        +bool isRising</w:t>
        <w:br/>
        <w:t xml:space="preserve">        +List~ForecastPoint~ rankedByPrice()</w:t>
        <w:br/>
        <w:t xml:space="preserve">    }</w:t>
        <w:br/>
        <w:br/>
        <w:t xml:space="preserve">    class ForecastPoint {</w:t>
        <w:br/>
        <w:t xml:space="preserve">        +String month</w:t>
        <w:br/>
        <w:t xml:space="preserve">        +int year</w:t>
        <w:br/>
        <w:t xml:space="preserve">        +double price</w:t>
        <w:br/>
        <w:t xml:space="preserve">        +double upperBound</w:t>
        <w:br/>
        <w:t xml:space="preserve">        +double lowerBound</w:t>
        <w:br/>
        <w:t xml:space="preserve">    }</w:t>
        <w:br/>
        <w:br/>
        <w:t xml:space="preserve">    class ProductionData {</w:t>
        <w:br/>
        <w:t xml:space="preserve">        +List~ProductionPoint~ quarterlyPoints</w:t>
        <w:br/>
        <w:t xml:space="preserve">        +Map~int, double~ annualTotals</w:t>
        <w:br/>
        <w:t xml:space="preserve">        +double smoothedBaseline</w:t>
        <w:br/>
        <w:t xml:space="preserve">        +double latestDeviation</w:t>
        <w:br/>
        <w:t xml:space="preserve">        +SupplyStatus status</w:t>
        <w:br/>
        <w:t xml:space="preserve">        +double baselineDeviationPercent()</w:t>
        <w:br/>
        <w:t xml:space="preserve">    }</w:t>
        <w:br/>
        <w:br/>
        <w:t xml:space="preserve">    class ProductionPoint {</w:t>
        <w:br/>
        <w:t xml:space="preserve">        +int year</w:t>
        <w:br/>
        <w:t xml:space="preserve">        +String quarter</w:t>
        <w:br/>
        <w:t xml:space="preserve">        +double volumeMt</w:t>
        <w:br/>
        <w:t xml:space="preserve">    }</w:t>
        <w:br/>
        <w:br/>
        <w:t xml:space="preserve">    class MarketPrice {</w:t>
        <w:br/>
        <w:t xml:space="preserve">        +String observedOn</w:t>
        <w:br/>
        <w:t xml:space="preserve">        +String commodity</w:t>
        <w:br/>
        <w:t xml:space="preserve">        +String headlineScope</w:t>
        <w:br/>
        <w:t xml:space="preserve">        +double price</w:t>
        <w:br/>
        <w:t xml:space="preserve">        +List~MarketGrade~ grades</w:t>
        <w:br/>
        <w:t xml:space="preserve">        +List~MarketGrade~ localGrades</w:t>
        <w:br/>
        <w:t xml:space="preserve">        +List~MarketGrade~ importedGrades</w:t>
        <w:br/>
        <w:t xml:space="preserve">        +bool isRegionWide</w:t>
        <w:br/>
        <w:t xml:space="preserve">    }</w:t>
        <w:br/>
        <w:br/>
        <w:t xml:space="preserve">    class MarketGrade {</w:t>
        <w:br/>
        <w:t xml:space="preserve">        +String label</w:t>
        <w:br/>
        <w:t xml:space="preserve">        +String origin</w:t>
        <w:br/>
        <w:t xml:space="preserve">        +double average</w:t>
        <w:br/>
        <w:t xml:space="preserve">        +double min</w:t>
        <w:br/>
        <w:t xml:space="preserve">        +double max</w:t>
        <w:br/>
        <w:t xml:space="preserve">        +int marketsReporting</w:t>
        <w:br/>
        <w:t xml:space="preserve">        +bool isLocal</w:t>
        <w:br/>
        <w:t xml:space="preserve">        +bool isRegionWide</w:t>
        <w:br/>
        <w:t xml:space="preserve">    }</w:t>
        <w:br/>
        <w:br/>
        <w:t xml:space="preserve">    class RiceVariety {</w:t>
        <w:br/>
        <w:t xml:space="preserve">        +String name</w:t>
        <w:br/>
        <w:t xml:space="preserve">        +String alias</w:t>
        <w:br/>
        <w:t xml:space="preserve">        +RiceCategory category</w:t>
        <w:br/>
        <w:t xml:space="preserve">        +String imageAsset</w:t>
        <w:br/>
        <w:t xml:space="preserve">        +Color tint</w:t>
        <w:br/>
        <w:t xml:space="preserve">        +bool verified</w:t>
        <w:br/>
        <w:t xml:space="preserve">        +String noteEn</w:t>
        <w:br/>
        <w:t xml:space="preserve">        +String noteIlo</w:t>
        <w:br/>
        <w:t xml:space="preserve">        +String monogram</w:t>
        <w:br/>
        <w:t xml:space="preserve">    }</w:t>
        <w:br/>
        <w:br/>
        <w:t xml:space="preserve">    class ForecastCache {</w:t>
        <w:br/>
        <w:t xml:space="preserve">        -String cacheKey</w:t>
        <w:br/>
        <w:t xml:space="preserve">        +fetchForecast(http.Client client) Future~ForecastData~</w:t>
        <w:br/>
        <w:t xml:space="preserve">        -fetchLive(http.Client client) Future~ForecastData~</w:t>
        <w:br/>
        <w:t xml:space="preserve">        -readCache() Future~ForecastData~</w:t>
        <w:br/>
        <w:t xml:space="preserve">        -writeCache(String rawJson) Future~void~</w:t>
        <w:br/>
        <w:t xml:space="preserve">        -fallback() ForecastData</w:t>
        <w:br/>
        <w:t xml:space="preserve">    }</w:t>
        <w:br/>
        <w:br/>
        <w:t xml:space="preserve">    class ForecastChartPainter {</w:t>
        <w:br/>
        <w:t xml:space="preserve">        +List~ForecastPoint~ points</w:t>
        <w:br/>
        <w:t xml:space="preserve">        +bool isRising</w:t>
        <w:br/>
        <w:t xml:space="preserve">        +double minPrice</w:t>
        <w:br/>
        <w:t xml:space="preserve">        +double maxPrice</w:t>
        <w:br/>
        <w:t xml:space="preserve">        +paint(Canvas canvas, Size size) void</w:t>
        <w:br/>
        <w:t xml:space="preserve">        +shouldRepaint(CustomPainter old) bool</w:t>
        <w:br/>
        <w:t xml:space="preserve">    }</w:t>
        <w:br/>
        <w:br/>
        <w:t xml:space="preserve">    FarmInApp --&gt; AuthGate</w:t>
        <w:br/>
        <w:t xml:space="preserve">    AuthGate --&gt; NavigationShell</w:t>
        <w:br/>
        <w:t xml:space="preserve">    NavigationShell --&gt; MarketDashboardWidget</w:t>
        <w:br/>
        <w:t xml:space="preserve">    MarketDashboardWidget --&gt; ForecastData</w:t>
        <w:br/>
        <w:t xml:space="preserve">    MarketDashboardWidget --&gt; ProductionData</w:t>
        <w:br/>
        <w:t xml:space="preserve">    ForecastData *-- ForecastPoint</w:t>
        <w:br/>
        <w:t xml:space="preserve">    ForecastData o-- MarketPrice</w:t>
        <w:br/>
        <w:t xml:space="preserve">    MarketPrice *-- MarketGrade</w:t>
        <w:br/>
        <w:t xml:space="preserve">    ProductionData *-- ProductionPoint</w:t>
        <w:br/>
        <w:t xml:space="preserve">    MarketDashboardWidget ..&gt; ForecastCache</w:t>
        <w:br/>
        <w:t xml:space="preserve">    PriceForecastWidget ..&gt; ForecastChartPainter</w:t>
      </w:r>
    </w:p>
    <w:p>
      <w:pPr>
        <w:keepNext/>
        <w:spacing w:before="280" w:after="80"/>
      </w:pPr>
      <w:r>
        <w:rPr>
          <w:rFonts w:ascii="Segoe UI" w:hAnsi="Segoe UI"/>
          <w:b/>
          <w:color w:val="1B5E20"/>
          <w:sz w:val="25"/>
        </w:rPr>
        <w:t>3. Class Specifications &amp; Data Contracts</w:t>
      </w:r>
    </w:p>
    <w:p>
      <w:pPr>
        <w:keepNext/>
        <w:spacing w:before="200" w:after="60"/>
      </w:pPr>
      <w:r>
        <w:rPr>
          <w:rFonts w:ascii="Segoe UI" w:hAnsi="Segoe UI"/>
          <w:b/>
          <w:color w:val="2E7D32"/>
          <w:sz w:val="21"/>
        </w:rPr>
        <w:t>ForecastData &amp; ForecastPoint (Machine Learning Domain Model)</w:t>
      </w:r>
    </w:p>
    <w:p>
      <w:pPr>
        <w:spacing w:before="0" w:after="80" w:line="250" w:lineRule="exact"/>
      </w:pPr>
      <w:r>
        <w:rPr>
          <w:rFonts w:ascii="Segoe UI" w:hAnsi="Segoe UI"/>
          <w:i w:val="0"/>
          <w:color w:val="323232"/>
          <w:sz w:val="19"/>
        </w:rPr>
        <w:t>Encapsulates 12-month forward predictive palay farmgate prices generated by the ARIMA pipeline. Provides business helper getters such as `peakPoint` (the highest anticipated future price point) and `isRising` (overall vector direction) which feed directly into the Sell/Hold advisory cards.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val="clear" w:color="auto" w:fill="E8F5E9"/>
            <w:tcMar>
              <w:top w:w="80" w:type="dxa"/>
              <w:bottom w:w="80" w:type="dxa"/>
              <w:left w:w="120" w:type="dxa"/>
              <w:right w:w="120" w:type="dxa"/>
            </w:tcMar>
          </w:tcPr>
          <w:p>
            <w:pPr>
              <w:spacing w:before="60" w:after="60"/>
            </w:pPr>
            <w:r>
              <w:rPr>
                <w:rFonts w:ascii="Segoe UI" w:hAnsi="Segoe UI"/>
                <w:b/>
                <w:color w:val="1B5E20"/>
                <w:sz w:val="17"/>
              </w:rPr>
              <w:t>Field / Method</w:t>
            </w:r>
          </w:p>
        </w:tc>
        <w:tc>
          <w:tcPr>
            <w:tcW w:type="dxa" w:w="2592"/>
            <w:shd w:val="clear" w:color="auto" w:fill="E8F5E9"/>
            <w:tcMar>
              <w:top w:w="80" w:type="dxa"/>
              <w:bottom w:w="80" w:type="dxa"/>
              <w:left w:w="120" w:type="dxa"/>
              <w:right w:w="120" w:type="dxa"/>
            </w:tcMar>
          </w:tcPr>
          <w:p>
            <w:pPr>
              <w:spacing w:before="60" w:after="60"/>
            </w:pPr>
            <w:r>
              <w:rPr>
                <w:rFonts w:ascii="Segoe UI" w:hAnsi="Segoe UI"/>
                <w:b/>
                <w:color w:val="1B5E20"/>
                <w:sz w:val="17"/>
              </w:rPr>
              <w:t>Type / Signature</w:t>
            </w:r>
          </w:p>
        </w:tc>
        <w:tc>
          <w:tcPr>
            <w:tcW w:type="dxa" w:w="1440"/>
            <w:shd w:val="clear" w:color="auto" w:fill="E8F5E9"/>
            <w:tcMar>
              <w:top w:w="80" w:type="dxa"/>
              <w:bottom w:w="80" w:type="dxa"/>
              <w:left w:w="120" w:type="dxa"/>
              <w:right w:w="120" w:type="dxa"/>
            </w:tcMar>
          </w:tcPr>
          <w:p>
            <w:pPr>
              <w:spacing w:before="60" w:after="60"/>
            </w:pPr>
            <w:r>
              <w:rPr>
                <w:rFonts w:ascii="Segoe UI" w:hAnsi="Segoe UI"/>
                <w:b/>
                <w:color w:val="1B5E20"/>
                <w:sz w:val="17"/>
              </w:rPr>
              <w:t>Visibility</w:t>
            </w:r>
          </w:p>
        </w:tc>
        <w:tc>
          <w:tcPr>
            <w:tcW w:type="dxa" w:w="4608"/>
            <w:shd w:val="clear" w:color="auto" w:fill="E8F5E9"/>
            <w:tcMar>
              <w:top w:w="80" w:type="dxa"/>
              <w:bottom w:w="80" w:type="dxa"/>
              <w:left w:w="120" w:type="dxa"/>
              <w:right w:w="120" w:type="dxa"/>
            </w:tcMar>
          </w:tcPr>
          <w:p>
            <w:pPr>
              <w:spacing w:before="60" w:after="60"/>
            </w:pPr>
            <w:r>
              <w:rPr>
                <w:rFonts w:ascii="Segoe UI" w:hAnsi="Segoe UI"/>
                <w:b/>
                <w:color w:val="1B5E20"/>
                <w:sz w:val="17"/>
              </w:rPr>
              <w:t>Description</w:t>
            </w:r>
          </w:p>
        </w:tc>
      </w:tr>
      <w:tr>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headlinePrice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double</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FFFFF"/>
            <w:tcMar>
              <w:top w:w="60" w:type="dxa"/>
              <w:bottom w:w="60" w:type="dxa"/>
              <w:left w:w="100" w:type="dxa"/>
              <w:right w:w="100" w:type="dxa"/>
            </w:tcMar>
          </w:tcPr>
          <w:p>
            <w:pPr>
              <w:spacing w:before="40" w:after="40"/>
            </w:pPr>
            <w:r>
              <w:rPr>
                <w:rFonts w:ascii="Segoe UI" w:hAnsi="Segoe UI"/>
                <w:color w:val="282828"/>
                <w:sz w:val="16"/>
              </w:rPr>
              <w:t>Today's benchmark farmgate palay price per kg</w:t>
            </w:r>
          </w:p>
        </w:tc>
      </w:tr>
      <w:tr>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forecastPoints</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List&lt;ForecastPoint&gt;</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AFAFA"/>
            <w:tcMar>
              <w:top w:w="60" w:type="dxa"/>
              <w:bottom w:w="60" w:type="dxa"/>
              <w:left w:w="100" w:type="dxa"/>
              <w:right w:w="100" w:type="dxa"/>
            </w:tcMar>
          </w:tcPr>
          <w:p>
            <w:pPr>
              <w:spacing w:before="40" w:after="40"/>
            </w:pPr>
            <w:r>
              <w:rPr>
                <w:rFonts w:ascii="Segoe UI" w:hAnsi="Segoe UI"/>
                <w:color w:val="282828"/>
                <w:sz w:val="16"/>
              </w:rPr>
              <w:t>12-month forward predicted monthly price array</w:t>
            </w:r>
          </w:p>
        </w:tc>
      </w:tr>
      <w:tr>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historyPoints</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List&lt;ForecastPoint&gt;</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FFFFF"/>
            <w:tcMar>
              <w:top w:w="60" w:type="dxa"/>
              <w:bottom w:w="60" w:type="dxa"/>
              <w:left w:w="100" w:type="dxa"/>
              <w:right w:w="100" w:type="dxa"/>
            </w:tcMar>
          </w:tcPr>
          <w:p>
            <w:pPr>
              <w:spacing w:before="40" w:after="40"/>
            </w:pPr>
            <w:r>
              <w:rPr>
                <w:rFonts w:ascii="Segoe UI" w:hAnsi="Segoe UI"/>
                <w:color w:val="282828"/>
                <w:sz w:val="16"/>
              </w:rPr>
              <w:t>Historical observed DA/PSA farmgate price array</w:t>
            </w:r>
          </w:p>
        </w:tc>
      </w:tr>
      <w:tr>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marketPrice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MarketPrice?</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AFAFA"/>
            <w:tcMar>
              <w:top w:w="60" w:type="dxa"/>
              <w:bottom w:w="60" w:type="dxa"/>
              <w:left w:w="100" w:type="dxa"/>
              <w:right w:w="100" w:type="dxa"/>
            </w:tcMar>
          </w:tcPr>
          <w:p>
            <w:pPr>
              <w:spacing w:before="40" w:after="40"/>
            </w:pPr>
            <w:r>
              <w:rPr>
                <w:rFonts w:ascii="Segoe UI" w:hAnsi="Segoe UI"/>
                <w:color w:val="282828"/>
                <w:sz w:val="16"/>
              </w:rPr>
              <w:t>Optional embedded DA retail market bulletin reading</w:t>
            </w:r>
          </w:p>
        </w:tc>
      </w:tr>
      <w:tr>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peakPoint</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ForecastPoint (getter)</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FFFFF"/>
            <w:tcMar>
              <w:top w:w="60" w:type="dxa"/>
              <w:bottom w:w="60" w:type="dxa"/>
              <w:left w:w="100" w:type="dxa"/>
              <w:right w:w="100" w:type="dxa"/>
            </w:tcMar>
          </w:tcPr>
          <w:p>
            <w:pPr>
              <w:spacing w:before="40" w:after="40"/>
            </w:pPr>
            <w:r>
              <w:rPr>
                <w:rFonts w:ascii="Segoe UI" w:hAnsi="Segoe UI"/>
                <w:color w:val="282828"/>
                <w:sz w:val="16"/>
              </w:rPr>
              <w:t>Calculates point with highest projected price in series</w:t>
            </w:r>
          </w:p>
        </w:tc>
      </w:tr>
      <w:tr>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lowPoint</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ForecastPoint (getter)</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AFAFA"/>
            <w:tcMar>
              <w:top w:w="60" w:type="dxa"/>
              <w:bottom w:w="60" w:type="dxa"/>
              <w:left w:w="100" w:type="dxa"/>
              <w:right w:w="100" w:type="dxa"/>
            </w:tcMar>
          </w:tcPr>
          <w:p>
            <w:pPr>
              <w:spacing w:before="40" w:after="40"/>
            </w:pPr>
            <w:r>
              <w:rPr>
                <w:rFonts w:ascii="Segoe UI" w:hAnsi="Segoe UI"/>
                <w:color w:val="282828"/>
                <w:sz w:val="16"/>
              </w:rPr>
              <w:t>Calculates point with lowest projected price in series</w:t>
            </w:r>
          </w:p>
        </w:tc>
      </w:tr>
      <w:tr>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isRising</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bool (getter)</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FFFFF"/>
            <w:tcMar>
              <w:top w:w="60" w:type="dxa"/>
              <w:bottom w:w="60" w:type="dxa"/>
              <w:left w:w="100" w:type="dxa"/>
              <w:right w:w="100" w:type="dxa"/>
            </w:tcMar>
          </w:tcPr>
          <w:p>
            <w:pPr>
              <w:spacing w:before="40" w:after="40"/>
            </w:pPr>
            <w:r>
              <w:rPr>
                <w:rFonts w:ascii="Segoe UI" w:hAnsi="Segoe UI"/>
                <w:color w:val="282828"/>
                <w:sz w:val="16"/>
              </w:rPr>
              <w:t>Returns true if projected trend direction is positive</w:t>
            </w:r>
          </w:p>
        </w:tc>
      </w:tr>
      <w:tr>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rankedByPrice()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List&lt;ForecastPoint&gt;</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AFAFA"/>
            <w:tcMar>
              <w:top w:w="60" w:type="dxa"/>
              <w:bottom w:w="60" w:type="dxa"/>
              <w:left w:w="100" w:type="dxa"/>
              <w:right w:w="100" w:type="dxa"/>
            </w:tcMar>
          </w:tcPr>
          <w:p>
            <w:pPr>
              <w:spacing w:before="40" w:after="40"/>
            </w:pPr>
            <w:r>
              <w:rPr>
                <w:rFonts w:ascii="Segoe UI" w:hAnsi="Segoe UI"/>
                <w:color w:val="282828"/>
                <w:sz w:val="16"/>
              </w:rPr>
              <w:t>Returns months ordered descending by profitability</w:t>
            </w:r>
          </w:p>
        </w:tc>
      </w:tr>
    </w:tbl>
    <w:p>
      <w:pPr>
        <w:spacing w:before="80" w:after="80"/>
      </w:pPr>
    </w:p>
    <w:p>
      <w:pPr>
        <w:keepNext/>
        <w:spacing w:before="200" w:after="60"/>
      </w:pPr>
      <w:r>
        <w:rPr>
          <w:rFonts w:ascii="Segoe UI" w:hAnsi="Segoe UI"/>
          <w:b/>
          <w:color w:val="2E7D32"/>
          <w:sz w:val="21"/>
        </w:rPr>
        <w:t>ProductionData &amp; ProductionPoint (Supply/Demand Domain Model)</w:t>
      </w:r>
    </w:p>
    <w:p>
      <w:pPr>
        <w:spacing w:before="0" w:after="80" w:line="250" w:lineRule="exact"/>
      </w:pPr>
      <w:r>
        <w:rPr>
          <w:rFonts w:ascii="Segoe UI" w:hAnsi="Segoe UI"/>
          <w:i w:val="0"/>
          <w:color w:val="323232"/>
          <w:sz w:val="19"/>
        </w:rPr>
        <w:t>Implements single exponential smoothing over quarterly provincial harvest volumes. Aggregates quarterly observations to annual totals and calculates supply-demand market tension against a multi-year baseline.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val="clear" w:color="auto" w:fill="E8F5E9"/>
            <w:tcMar>
              <w:top w:w="80" w:type="dxa"/>
              <w:bottom w:w="80" w:type="dxa"/>
              <w:left w:w="120" w:type="dxa"/>
              <w:right w:w="120" w:type="dxa"/>
            </w:tcMar>
          </w:tcPr>
          <w:p>
            <w:pPr>
              <w:spacing w:before="60" w:after="60"/>
            </w:pPr>
            <w:r>
              <w:rPr>
                <w:rFonts w:ascii="Segoe UI" w:hAnsi="Segoe UI"/>
                <w:b/>
                <w:color w:val="1B5E20"/>
                <w:sz w:val="17"/>
              </w:rPr>
              <w:t>Field / Method</w:t>
            </w:r>
          </w:p>
        </w:tc>
        <w:tc>
          <w:tcPr>
            <w:tcW w:type="dxa" w:w="2592"/>
            <w:shd w:val="clear" w:color="auto" w:fill="E8F5E9"/>
            <w:tcMar>
              <w:top w:w="80" w:type="dxa"/>
              <w:bottom w:w="80" w:type="dxa"/>
              <w:left w:w="120" w:type="dxa"/>
              <w:right w:w="120" w:type="dxa"/>
            </w:tcMar>
          </w:tcPr>
          <w:p>
            <w:pPr>
              <w:spacing w:before="60" w:after="60"/>
            </w:pPr>
            <w:r>
              <w:rPr>
                <w:rFonts w:ascii="Segoe UI" w:hAnsi="Segoe UI"/>
                <w:b/>
                <w:color w:val="1B5E20"/>
                <w:sz w:val="17"/>
              </w:rPr>
              <w:t>Type / Signature</w:t>
            </w:r>
          </w:p>
        </w:tc>
        <w:tc>
          <w:tcPr>
            <w:tcW w:type="dxa" w:w="1440"/>
            <w:shd w:val="clear" w:color="auto" w:fill="E8F5E9"/>
            <w:tcMar>
              <w:top w:w="80" w:type="dxa"/>
              <w:bottom w:w="80" w:type="dxa"/>
              <w:left w:w="120" w:type="dxa"/>
              <w:right w:w="120" w:type="dxa"/>
            </w:tcMar>
          </w:tcPr>
          <w:p>
            <w:pPr>
              <w:spacing w:before="60" w:after="60"/>
            </w:pPr>
            <w:r>
              <w:rPr>
                <w:rFonts w:ascii="Segoe UI" w:hAnsi="Segoe UI"/>
                <w:b/>
                <w:color w:val="1B5E20"/>
                <w:sz w:val="17"/>
              </w:rPr>
              <w:t>Visibility</w:t>
            </w:r>
          </w:p>
        </w:tc>
        <w:tc>
          <w:tcPr>
            <w:tcW w:type="dxa" w:w="4608"/>
            <w:shd w:val="clear" w:color="auto" w:fill="E8F5E9"/>
            <w:tcMar>
              <w:top w:w="80" w:type="dxa"/>
              <w:bottom w:w="80" w:type="dxa"/>
              <w:left w:w="120" w:type="dxa"/>
              <w:right w:w="120" w:type="dxa"/>
            </w:tcMar>
          </w:tcPr>
          <w:p>
            <w:pPr>
              <w:spacing w:before="60" w:after="60"/>
            </w:pPr>
            <w:r>
              <w:rPr>
                <w:rFonts w:ascii="Segoe UI" w:hAnsi="Segoe UI"/>
                <w:b/>
                <w:color w:val="1B5E20"/>
                <w:sz w:val="17"/>
              </w:rPr>
              <w:t>Description</w:t>
            </w:r>
          </w:p>
        </w:tc>
      </w:tr>
      <w:tr>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quarterlyPoints</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List&lt;ProductionPoint&gt;</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FFFFF"/>
            <w:tcMar>
              <w:top w:w="60" w:type="dxa"/>
              <w:bottom w:w="60" w:type="dxa"/>
              <w:left w:w="100" w:type="dxa"/>
              <w:right w:w="100" w:type="dxa"/>
            </w:tcMar>
          </w:tcPr>
          <w:p>
            <w:pPr>
              <w:spacing w:before="40" w:after="40"/>
            </w:pPr>
            <w:r>
              <w:rPr>
                <w:rFonts w:ascii="Segoe UI" w:hAnsi="Segoe UI"/>
                <w:color w:val="282828"/>
                <w:sz w:val="16"/>
              </w:rPr>
              <w:t>Raw quarterly palay harvest volume entries (MT)</w:t>
            </w:r>
          </w:p>
        </w:tc>
      </w:tr>
      <w:tr>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annualTotals</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Map&lt;int, double&gt;</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AFAFA"/>
            <w:tcMar>
              <w:top w:w="60" w:type="dxa"/>
              <w:bottom w:w="60" w:type="dxa"/>
              <w:left w:w="100" w:type="dxa"/>
              <w:right w:w="100" w:type="dxa"/>
            </w:tcMar>
          </w:tcPr>
          <w:p>
            <w:pPr>
              <w:spacing w:before="40" w:after="40"/>
            </w:pPr>
            <w:r>
              <w:rPr>
                <w:rFonts w:ascii="Segoe UI" w:hAnsi="Segoe UI"/>
                <w:color w:val="282828"/>
                <w:sz w:val="16"/>
              </w:rPr>
              <w:t>Aggregated annual sum of four production quarters</w:t>
            </w:r>
          </w:p>
        </w:tc>
      </w:tr>
      <w:tr>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smoothedBaseline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double</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FFFFF"/>
            <w:tcMar>
              <w:top w:w="60" w:type="dxa"/>
              <w:bottom w:w="60" w:type="dxa"/>
              <w:left w:w="100" w:type="dxa"/>
              <w:right w:w="100" w:type="dxa"/>
            </w:tcMar>
          </w:tcPr>
          <w:p>
            <w:pPr>
              <w:spacing w:before="40" w:after="40"/>
            </w:pPr>
            <w:r>
              <w:rPr>
                <w:rFonts w:ascii="Segoe UI" w:hAnsi="Segoe UI"/>
                <w:color w:val="282828"/>
                <w:sz w:val="16"/>
              </w:rPr>
              <w:t>Single exponential smoothing baseline value (alpha = 0.3)</w:t>
            </w:r>
          </w:p>
        </w:tc>
      </w:tr>
      <w:tr>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latestDeviation</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double</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AFAFA"/>
            <w:tcMar>
              <w:top w:w="60" w:type="dxa"/>
              <w:bottom w:w="60" w:type="dxa"/>
              <w:left w:w="100" w:type="dxa"/>
              <w:right w:w="100" w:type="dxa"/>
            </w:tcMar>
          </w:tcPr>
          <w:p>
            <w:pPr>
              <w:spacing w:before="40" w:after="40"/>
            </w:pPr>
            <w:r>
              <w:rPr>
                <w:rFonts w:ascii="Segoe UI" w:hAnsi="Segoe UI"/>
                <w:color w:val="282828"/>
                <w:sz w:val="16"/>
              </w:rPr>
              <w:t>Percentage difference: (latest_volume - baseline) / baseline</w:t>
            </w:r>
          </w:p>
        </w:tc>
      </w:tr>
      <w:tr>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status</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SupplyStatus (getter)</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FFFFF"/>
            <w:tcMar>
              <w:top w:w="60" w:type="dxa"/>
              <w:bottom w:w="60" w:type="dxa"/>
              <w:left w:w="100" w:type="dxa"/>
              <w:right w:w="100" w:type="dxa"/>
            </w:tcMar>
          </w:tcPr>
          <w:p>
            <w:pPr>
              <w:spacing w:before="40" w:after="40"/>
            </w:pPr>
            <w:r>
              <w:rPr>
                <w:rFonts w:ascii="Segoe UI" w:hAnsi="Segoe UI"/>
                <w:color w:val="282828"/>
                <w:sz w:val="16"/>
              </w:rPr>
              <w:t>Categorizes market into SURPLUS, BALANCED, or DEFICIT</w:t>
            </w:r>
          </w:p>
        </w:tc>
      </w:tr>
      <w:tr>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parseProduction()</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ProductionData (factory)</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AFAFA"/>
            <w:tcMar>
              <w:top w:w="60" w:type="dxa"/>
              <w:bottom w:w="60" w:type="dxa"/>
              <w:left w:w="100" w:type="dxa"/>
              <w:right w:w="100" w:type="dxa"/>
            </w:tcMar>
          </w:tcPr>
          <w:p>
            <w:pPr>
              <w:spacing w:before="40" w:after="40"/>
            </w:pPr>
            <w:r>
              <w:rPr>
                <w:rFonts w:ascii="Segoe UI" w:hAnsi="Segoe UI"/>
                <w:color w:val="282828"/>
                <w:sz w:val="16"/>
              </w:rPr>
              <w:t>Factory constructor parsing JSON or Supabase rows</w:t>
            </w:r>
          </w:p>
        </w:tc>
      </w:tr>
    </w:tbl>
    <w:p>
      <w:pPr>
        <w:spacing w:before="80" w:after="80"/>
      </w:pPr>
    </w:p>
    <w:p>
      <w:pPr>
        <w:keepNext/>
        <w:spacing w:before="200" w:after="60"/>
      </w:pPr>
      <w:r>
        <w:rPr>
          <w:rFonts w:ascii="Segoe UI" w:hAnsi="Segoe UI"/>
          <w:b/>
          <w:color w:val="2E7D32"/>
          <w:sz w:val="21"/>
        </w:rPr>
        <w:t>ForecastCache (Resilient Data Service)</w:t>
      </w:r>
    </w:p>
    <w:p>
      <w:pPr>
        <w:spacing w:before="0" w:after="80" w:line="250" w:lineRule="exact"/>
      </w:pPr>
      <w:r>
        <w:rPr>
          <w:rFonts w:ascii="Segoe UI" w:hAnsi="Segoe UI"/>
          <w:i w:val="0"/>
          <w:color w:val="323232"/>
          <w:sz w:val="19"/>
        </w:rPr>
        <w:t>Single-point-of-contact network and storage service implementing 3-tier data provenance: Live HTTP GET -&gt; SharedPreferences Cache -&gt; Embedded Demo 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val="clear" w:color="auto" w:fill="E8F5E9"/>
            <w:tcMar>
              <w:top w:w="80" w:type="dxa"/>
              <w:bottom w:w="80" w:type="dxa"/>
              <w:left w:w="120" w:type="dxa"/>
              <w:right w:w="120" w:type="dxa"/>
            </w:tcMar>
          </w:tcPr>
          <w:p>
            <w:pPr>
              <w:spacing w:before="60" w:after="60"/>
            </w:pPr>
            <w:r>
              <w:rPr>
                <w:rFonts w:ascii="Segoe UI" w:hAnsi="Segoe UI"/>
                <w:b/>
                <w:color w:val="1B5E20"/>
                <w:sz w:val="17"/>
              </w:rPr>
              <w:t>Method Name</w:t>
            </w:r>
          </w:p>
        </w:tc>
        <w:tc>
          <w:tcPr>
            <w:tcW w:type="dxa" w:w="2592"/>
            <w:shd w:val="clear" w:color="auto" w:fill="E8F5E9"/>
            <w:tcMar>
              <w:top w:w="80" w:type="dxa"/>
              <w:bottom w:w="80" w:type="dxa"/>
              <w:left w:w="120" w:type="dxa"/>
              <w:right w:w="120" w:type="dxa"/>
            </w:tcMar>
          </w:tcPr>
          <w:p>
            <w:pPr>
              <w:spacing w:before="60" w:after="60"/>
            </w:pPr>
            <w:r>
              <w:rPr>
                <w:rFonts w:ascii="Segoe UI" w:hAnsi="Segoe UI"/>
                <w:b/>
                <w:color w:val="1B5E20"/>
                <w:sz w:val="17"/>
              </w:rPr>
              <w:t>Return Type</w:t>
            </w:r>
          </w:p>
        </w:tc>
        <w:tc>
          <w:tcPr>
            <w:tcW w:type="dxa" w:w="1440"/>
            <w:shd w:val="clear" w:color="auto" w:fill="E8F5E9"/>
            <w:tcMar>
              <w:top w:w="80" w:type="dxa"/>
              <w:bottom w:w="80" w:type="dxa"/>
              <w:left w:w="120" w:type="dxa"/>
              <w:right w:w="120" w:type="dxa"/>
            </w:tcMar>
          </w:tcPr>
          <w:p>
            <w:pPr>
              <w:spacing w:before="60" w:after="60"/>
            </w:pPr>
            <w:r>
              <w:rPr>
                <w:rFonts w:ascii="Segoe UI" w:hAnsi="Segoe UI"/>
                <w:b/>
                <w:color w:val="1B5E20"/>
                <w:sz w:val="17"/>
              </w:rPr>
              <w:t>Access</w:t>
            </w:r>
          </w:p>
        </w:tc>
        <w:tc>
          <w:tcPr>
            <w:tcW w:type="dxa" w:w="4608"/>
            <w:shd w:val="clear" w:color="auto" w:fill="E8F5E9"/>
            <w:tcMar>
              <w:top w:w="80" w:type="dxa"/>
              <w:bottom w:w="80" w:type="dxa"/>
              <w:left w:w="120" w:type="dxa"/>
              <w:right w:w="120" w:type="dxa"/>
            </w:tcMar>
          </w:tcPr>
          <w:p>
            <w:pPr>
              <w:spacing w:before="60" w:after="60"/>
            </w:pPr>
            <w:r>
              <w:rPr>
                <w:rFonts w:ascii="Segoe UI" w:hAnsi="Segoe UI"/>
                <w:b/>
                <w:color w:val="1B5E20"/>
                <w:sz w:val="17"/>
              </w:rPr>
              <w:t>Function &amp; Resilience Behavior</w:t>
            </w:r>
          </w:p>
        </w:tc>
      </w:tr>
      <w:tr>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fetchForecast()</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Future&lt;ForecastData&gt;</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Public</w:t>
            </w:r>
          </w:p>
        </w:tc>
        <w:tc>
          <w:tcPr>
            <w:tcW w:type="dxa" w:w="4608"/>
            <w:shd w:val="clear" w:color="auto" w:fill="FFFFFF"/>
            <w:tcMar>
              <w:top w:w="60" w:type="dxa"/>
              <w:bottom w:w="60" w:type="dxa"/>
              <w:left w:w="100" w:type="dxa"/>
              <w:right w:w="100" w:type="dxa"/>
            </w:tcMar>
          </w:tcPr>
          <w:p>
            <w:pPr>
              <w:spacing w:before="40" w:after="40"/>
            </w:pPr>
            <w:r>
              <w:rPr>
                <w:rFonts w:ascii="Segoe UI" w:hAnsi="Segoe UI"/>
                <w:color w:val="282828"/>
                <w:sz w:val="16"/>
              </w:rPr>
              <w:t>Orchestrates 3-tier fallback resolution</w:t>
            </w:r>
          </w:p>
        </w:tc>
      </w:tr>
      <w:tr>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_fetchLive()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Future&lt;ForecastData&gt;</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Private</w:t>
            </w:r>
          </w:p>
        </w:tc>
        <w:tc>
          <w:tcPr>
            <w:tcW w:type="dxa" w:w="4608"/>
            <w:shd w:val="clear" w:color="auto" w:fill="FAFAFA"/>
            <w:tcMar>
              <w:top w:w="60" w:type="dxa"/>
              <w:bottom w:w="60" w:type="dxa"/>
              <w:left w:w="100" w:type="dxa"/>
              <w:right w:w="100" w:type="dxa"/>
            </w:tcMar>
          </w:tcPr>
          <w:p>
            <w:pPr>
              <w:spacing w:before="40" w:after="40"/>
            </w:pPr>
            <w:r>
              <w:rPr>
                <w:rFonts w:ascii="Segoe UI" w:hAnsi="Segoe UI"/>
                <w:color w:val="282828"/>
                <w:sz w:val="16"/>
              </w:rPr>
              <w:t>Performs HTTP GET to static CDN endpoint with 10s timeout</w:t>
            </w:r>
          </w:p>
        </w:tc>
      </w:tr>
      <w:tr>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_readCache()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Future&lt;ForecastData?&gt;</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Private</w:t>
            </w:r>
          </w:p>
        </w:tc>
        <w:tc>
          <w:tcPr>
            <w:tcW w:type="dxa" w:w="4608"/>
            <w:shd w:val="clear" w:color="auto" w:fill="FFFFFF"/>
            <w:tcMar>
              <w:top w:w="60" w:type="dxa"/>
              <w:bottom w:w="60" w:type="dxa"/>
              <w:left w:w="100" w:type="dxa"/>
              <w:right w:w="100" w:type="dxa"/>
            </w:tcMar>
          </w:tcPr>
          <w:p>
            <w:pPr>
              <w:spacing w:before="40" w:after="40"/>
            </w:pPr>
            <w:r>
              <w:rPr>
                <w:rFonts w:ascii="Segoe UI" w:hAnsi="Segoe UI"/>
                <w:color w:val="282828"/>
                <w:sz w:val="16"/>
              </w:rPr>
              <w:t>Reads persisted JSON string from SharedPreferences</w:t>
            </w:r>
          </w:p>
        </w:tc>
      </w:tr>
      <w:tr>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_writeCache()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Future&lt;void&gt;</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Private</w:t>
            </w:r>
          </w:p>
        </w:tc>
        <w:tc>
          <w:tcPr>
            <w:tcW w:type="dxa" w:w="4608"/>
            <w:shd w:val="clear" w:color="auto" w:fill="FAFAFA"/>
            <w:tcMar>
              <w:top w:w="60" w:type="dxa"/>
              <w:bottom w:w="60" w:type="dxa"/>
              <w:left w:w="100" w:type="dxa"/>
              <w:right w:w="100" w:type="dxa"/>
            </w:tcMar>
          </w:tcPr>
          <w:p>
            <w:pPr>
              <w:spacing w:before="40" w:after="40"/>
            </w:pPr>
            <w:r>
              <w:rPr>
                <w:rFonts w:ascii="Segoe UI" w:hAnsi="Segoe UI"/>
                <w:color w:val="282828"/>
                <w:sz w:val="16"/>
              </w:rPr>
              <w:t>Saves fresh JSON payload to device local storage</w:t>
            </w:r>
          </w:p>
        </w:tc>
      </w:tr>
      <w:tr>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_fallback()</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ForecastData</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Private</w:t>
            </w:r>
          </w:p>
        </w:tc>
        <w:tc>
          <w:tcPr>
            <w:tcW w:type="dxa" w:w="4608"/>
            <w:shd w:val="clear" w:color="auto" w:fill="FFFFFF"/>
            <w:tcMar>
              <w:top w:w="60" w:type="dxa"/>
              <w:bottom w:w="60" w:type="dxa"/>
              <w:left w:w="100" w:type="dxa"/>
              <w:right w:w="100" w:type="dxa"/>
            </w:tcMar>
          </w:tcPr>
          <w:p>
            <w:pPr>
              <w:spacing w:before="40" w:after="40"/>
            </w:pPr>
            <w:r>
              <w:rPr>
                <w:rFonts w:ascii="Segoe UI" w:hAnsi="Segoe UI"/>
                <w:color w:val="282828"/>
                <w:sz w:val="16"/>
              </w:rPr>
              <w:t>Instantiates embedded hardcoded demo series if completely offline</w:t>
            </w:r>
          </w:p>
        </w:tc>
      </w:tr>
    </w:tbl>
    <w:p>
      <w:pPr>
        <w:spacing w:before="80" w:after="80"/>
      </w:pP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08080"/>
        <w:sz w:val="16"/>
      </w:rPr>
      <w:t xml:space="preserve">Page </w:t>
      <w:fldSimple w:instr="PAGE"/>
    </w:r>
    <w:r>
      <w:rPr>
        <w:rFonts w:ascii="Segoe UI" w:hAnsi="Segoe UI"/>
        <w:color w:val="808080"/>
        <w:sz w:val="16"/>
      </w:rPr>
      <w:t xml:space="preserve"> of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6"/>
      </w:rPr>
      <w:t>FarmIn — UML Class Diagram &amp; Object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