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物流理赔风险识别及服务升级问题</w:t>
      </w:r>
    </w:p>
    <w:p>
      <w:pPr>
        <w:spacing w:after="120"/>
        <w:ind w:firstLine="420"/>
      </w:pPr>
      <w:r>
        <w:rPr>
          <w:rFonts w:ascii="Times New Roman" w:hAnsi="Times New Roman" w:eastAsia="宋体"/>
          <w:b w:val="0"/>
          <w:sz w:val="21"/>
        </w:rPr>
        <w:t>——2025 年 MathorCup 数学应用挑战赛大数据竞赛赛道 B</w:t>
      </w:r>
    </w:p>
    <w:p>
      <w:pPr>
        <w:pStyle w:val="Heading2"/>
      </w:pPr>
      <w:r>
        <w:rPr>
          <w:rFonts w:ascii="Times New Roman" w:hAnsi="Times New Roman" w:eastAsia="黑体"/>
          <w:b/>
          <w:color w:val="000000"/>
          <w:sz w:val="28"/>
        </w:rPr>
        <w:t>摘要</w:t>
      </w:r>
    </w:p>
    <w:p>
      <w:pPr>
        <w:spacing w:after="120"/>
        <w:ind w:firstLine="420"/>
      </w:pPr>
      <w:r>
        <w:rPr>
          <w:rFonts w:ascii="Times New Roman" w:hAnsi="Times New Roman" w:eastAsia="宋体"/>
          <w:b w:val="0"/>
          <w:sz w:val="21"/>
        </w:rPr>
        <w:t>物流理赔是物流企业控制成本与提升体验的关键环节。本文针对售后理赔场景，基于 11,167 条历史谈赔运单（附件1）与 2,792 条待判定运单（附件2），依次解决</w:t>
      </w:r>
      <w:r>
        <w:rPr>
          <w:rFonts w:ascii="Times New Roman" w:hAnsi="Times New Roman" w:eastAsia="宋体"/>
          <w:b/>
          <w:sz w:val="21"/>
        </w:rPr>
        <w:t>风险标注规则构建</w:t>
      </w:r>
      <w:r>
        <w:rPr>
          <w:rFonts w:ascii="Times New Roman" w:hAnsi="Times New Roman" w:eastAsia="宋体"/>
          <w:b w:val="0"/>
          <w:sz w:val="21"/>
        </w:rPr>
        <w:t>、</w:t>
      </w:r>
      <w:r>
        <w:rPr>
          <w:rFonts w:ascii="Times New Roman" w:hAnsi="Times New Roman" w:eastAsia="宋体"/>
          <w:b/>
          <w:sz w:val="21"/>
        </w:rPr>
        <w:t>实际赔付金额回归预测</w:t>
      </w:r>
      <w:r>
        <w:rPr>
          <w:rFonts w:ascii="Times New Roman" w:hAnsi="Times New Roman" w:eastAsia="宋体"/>
          <w:b w:val="0"/>
          <w:sz w:val="21"/>
        </w:rPr>
        <w:t>与</w:t>
      </w:r>
      <w:r>
        <w:rPr>
          <w:rFonts w:ascii="Times New Roman" w:hAnsi="Times New Roman" w:eastAsia="宋体"/>
          <w:b/>
          <w:sz w:val="21"/>
        </w:rPr>
        <w:t>风险标注分类预测</w:t>
      </w:r>
      <w:r>
        <w:rPr>
          <w:rFonts w:ascii="Times New Roman" w:hAnsi="Times New Roman" w:eastAsia="宋体"/>
          <w:b w:val="0"/>
          <w:sz w:val="21"/>
        </w:rPr>
        <w:t>三个问题。</w:t>
      </w:r>
    </w:p>
    <w:p>
      <w:pPr>
        <w:spacing w:after="120"/>
        <w:ind w:firstLine="420"/>
      </w:pPr>
      <w:r>
        <w:rPr>
          <w:rFonts w:ascii="Times New Roman" w:hAnsi="Times New Roman" w:eastAsia="宋体"/>
          <w:b/>
          <w:sz w:val="21"/>
        </w:rPr>
        <w:t>针对问题1</w:t>
      </w:r>
      <w:r>
        <w:rPr>
          <w:rFonts w:ascii="Times New Roman" w:hAnsi="Times New Roman" w:eastAsia="宋体"/>
          <w:b w:val="0"/>
          <w:sz w:val="21"/>
        </w:rPr>
        <w:t>，我们定义超额索赔额 u = 索赔金额 − 实际赔付金额，以（实际赔付金额 p，超额索赔额 u）为标注平面，建立了</w:t>
      </w:r>
      <w:r>
        <w:rPr>
          <w:rFonts w:ascii="Times New Roman" w:hAnsi="Times New Roman" w:eastAsia="宋体"/>
          <w:b/>
          <w:sz w:val="21"/>
        </w:rPr>
        <w:t>双阈值单调边界标注规则</w:t>
      </w:r>
      <w:r>
        <w:rPr>
          <w:rFonts w:ascii="Times New Roman" w:hAnsi="Times New Roman" w:eastAsia="宋体"/>
          <w:b w:val="0"/>
          <w:sz w:val="21"/>
        </w:rPr>
        <w:t>：u ≤ T₁(p) 判为合理诉求，T₁(p) &lt; u ≤ T₂(p) 判为诉求偏高，u &gt; T₂(p) 判为严重超额，其中 T₁(p)=264.87+2.482p、T₂(p)=850.93+3.269p。边界函数由赔付金额等频分箱的条件分位数经加权最小二乘拟合得到，分位水平 (τ₁, τ₂)=(0.86, 0.98) 在约束网格内按占比合规、单调性、类内紧凑、密度对比四项准则择优。该规则对附件1 全部 11,167 条运单的标注结果为：合理诉求 85.97%、诉求偏高 11.96%、严重超额 2.07%，满足题面"合理诉求不低于 85%、严重超额通常小于 3%"的软约束；三类超额索赔额中位数呈 218/988/1950 元的清晰阶梯，合理类样本处核密度为严重类的 38.9 倍，满足"合理密集、严重稀疏、密集程度差别明显"的要求；边界对赔付金额单调递增且两边界全域不相交。</w:t>
      </w:r>
    </w:p>
    <w:p>
      <w:pPr>
        <w:spacing w:after="120"/>
        <w:ind w:firstLine="420"/>
      </w:pPr>
      <w:r>
        <w:rPr>
          <w:rFonts w:ascii="Times New Roman" w:hAnsi="Times New Roman" w:eastAsia="宋体"/>
          <w:b/>
          <w:sz w:val="21"/>
        </w:rPr>
        <w:t>针对问题2</w:t>
      </w:r>
      <w:r>
        <w:rPr>
          <w:rFonts w:ascii="Times New Roman" w:hAnsi="Times New Roman" w:eastAsia="宋体"/>
          <w:b w:val="0"/>
          <w:sz w:val="21"/>
        </w:rPr>
        <w:t>，构建 42 维特征（索赔金额、保价金额、运输与客诉属性、网点行为统计及高频 ID 频次编码），以 LightGBM 梯度提升树（L1 目标函数）预测实际赔付金额，采用 5 折交叉验证评估：</w:t>
      </w:r>
      <w:r>
        <w:rPr>
          <w:rFonts w:ascii="Times New Roman" w:hAnsi="Times New Roman" w:eastAsia="宋体"/>
          <w:b/>
          <w:sz w:val="21"/>
        </w:rPr>
        <w:t>MAE = 95.60±2.64 元</w:t>
      </w:r>
      <w:r>
        <w:rPr>
          <w:rFonts w:ascii="Times New Roman" w:hAnsi="Times New Roman" w:eastAsia="宋体"/>
          <w:b w:val="0"/>
          <w:sz w:val="21"/>
        </w:rPr>
        <w:t>、RMSE = 142.55 元、WAPE = 32.71%，较中位数基线（MAE 199.02 元）降低 51.97%，80/20 留出复验 MAE = 100.09 元，泛化稳定。特征消融表明索赔金额特征是主力信号（去除后 MAE 升至 183.94 元），网点行为与频次编码特征无显著增量。</w:t>
      </w:r>
    </w:p>
    <w:p>
      <w:pPr>
        <w:spacing w:after="120"/>
        <w:ind w:firstLine="420"/>
      </w:pPr>
      <w:r>
        <w:rPr>
          <w:rFonts w:ascii="Times New Roman" w:hAnsi="Times New Roman" w:eastAsia="宋体"/>
          <w:b/>
          <w:sz w:val="21"/>
        </w:rPr>
        <w:t>针对问题3</w:t>
      </w:r>
      <w:r>
        <w:rPr>
          <w:rFonts w:ascii="Times New Roman" w:hAnsi="Times New Roman" w:eastAsia="宋体"/>
          <w:b w:val="0"/>
          <w:sz w:val="21"/>
        </w:rPr>
        <w:t>，以问题1 规则生成训练标签，建立 LightGBM 三分类模型直接预测附件2 风险标注。针对"严重超额"占比仅 2.07% 的严重类不均衡，系统比较了</w:t>
      </w:r>
      <w:r>
        <w:rPr>
          <w:rFonts w:ascii="Times New Roman" w:hAnsi="Times New Roman" w:eastAsia="宋体"/>
          <w:b/>
          <w:sz w:val="21"/>
        </w:rPr>
        <w:t>类权重加权、训练折内随机过采样、先验校正阈值移动</w:t>
      </w:r>
      <w:r>
        <w:rPr>
          <w:rFonts w:ascii="Times New Roman" w:hAnsi="Times New Roman" w:eastAsia="宋体"/>
          <w:b w:val="0"/>
          <w:sz w:val="21"/>
        </w:rPr>
        <w:t xml:space="preserve">三类通用处理方法共 8 种配置，最终采用"过采样至多数类 50%"方案，宏 F1 = </w:t>
      </w:r>
      <w:r>
        <w:rPr>
          <w:rFonts w:ascii="Times New Roman" w:hAnsi="Times New Roman" w:eastAsia="宋体"/>
          <w:b/>
          <w:sz w:val="21"/>
        </w:rPr>
        <w:t>0.6350±0.0118</w:t>
      </w:r>
      <w:r>
        <w:rPr>
          <w:rFonts w:ascii="Times New Roman" w:hAnsi="Times New Roman" w:eastAsia="宋体"/>
          <w:b w:val="0"/>
          <w:sz w:val="21"/>
        </w:rPr>
        <w:t>，严重超额类召回率 0.230、精确率 0.366，显著优于多数类基线（宏 F1 = 0.309）。论文详细论述了不均衡处理机制与实验结果，并按题目要求对比了</w:t>
      </w:r>
      <w:r>
        <w:rPr>
          <w:rFonts w:ascii="Times New Roman" w:hAnsi="Times New Roman" w:eastAsia="宋体"/>
          <w:b/>
          <w:sz w:val="21"/>
        </w:rPr>
        <w:t>直接分类（路线A）</w:t>
      </w:r>
      <w:r>
        <w:rPr>
          <w:rFonts w:ascii="Times New Roman" w:hAnsi="Times New Roman" w:eastAsia="宋体"/>
          <w:b w:val="0"/>
          <w:sz w:val="21"/>
        </w:rPr>
        <w:t>与</w:t>
      </w:r>
      <w:r>
        <w:rPr>
          <w:rFonts w:ascii="Times New Roman" w:hAnsi="Times New Roman" w:eastAsia="宋体"/>
          <w:b/>
          <w:sz w:val="21"/>
        </w:rPr>
        <w:t>先回归赔付金额再按规则判定（路线B）</w:t>
      </w:r>
      <w:r>
        <w:rPr>
          <w:rFonts w:ascii="Times New Roman" w:hAnsi="Times New Roman" w:eastAsia="宋体"/>
          <w:b w:val="0"/>
          <w:sz w:val="21"/>
        </w:rPr>
        <w:t>两条路线：同折对比下路线A 宏 F1 高出 0.076，严重类召回高出 10 倍（0.230 对 0.022），回归误差在高阈值处的非线性放大是路线B 漏检严重的根源；路线B 的优势在于机制透明、与谈赔定价逻辑一致且规则改动无需重训。</w:t>
      </w:r>
    </w:p>
    <w:p>
      <w:pPr>
        <w:spacing w:after="120"/>
        <w:ind w:firstLine="420"/>
      </w:pPr>
      <w:r>
        <w:rPr>
          <w:rFonts w:ascii="Times New Roman" w:hAnsi="Times New Roman" w:eastAsia="宋体"/>
          <w:b w:val="0"/>
          <w:sz w:val="21"/>
        </w:rPr>
        <w:t>最终提交文件 `Result_提交.xlsx` 严格保持模板运单号（2,792 行）逐行不变，填充预测赔付金额（中位数 209.00 元，均值 267.61 元）与风险标注（合理 89.58%、偏高 9.03%、严重 1.40%，严重占比满足 &lt;3% 软约束）。全部模型与规则参数固定随机种子（2025）可复现，规则参数扰动实验（12 组配置）与标签扰动实验表明结果对参数选择稳健。</w:t>
      </w:r>
    </w:p>
    <w:p>
      <w:pPr>
        <w:spacing w:after="120"/>
        <w:ind w:firstLine="420"/>
      </w:pPr>
      <w:r>
        <w:rPr>
          <w:rFonts w:ascii="Times New Roman" w:hAnsi="Times New Roman" w:eastAsia="宋体"/>
          <w:b/>
          <w:sz w:val="21"/>
        </w:rPr>
        <w:t>关键词</w:t>
      </w:r>
      <w:r>
        <w:rPr>
          <w:rFonts w:ascii="Times New Roman" w:hAnsi="Times New Roman" w:eastAsia="宋体"/>
          <w:b w:val="0"/>
          <w:sz w:val="21"/>
        </w:rPr>
        <w:t>：风险标注；单调阈值规则；条件分位数；LightGBM；类别不均衡；梯度提升回归</w:t>
      </w:r>
    </w:p>
    <w:p>
      <w:pPr>
        <w:pStyle w:val="Heading2"/>
      </w:pPr>
      <w:r>
        <w:rPr>
          <w:rFonts w:ascii="Times New Roman" w:hAnsi="Times New Roman" w:eastAsia="黑体"/>
          <w:b/>
          <w:color w:val="000000"/>
          <w:sz w:val="28"/>
        </w:rPr>
        <w:t>一、问题重述</w:t>
      </w:r>
    </w:p>
    <w:p>
      <w:pPr>
        <w:pStyle w:val="Heading3"/>
      </w:pPr>
      <w:r>
        <w:rPr>
          <w:rFonts w:ascii="Times New Roman" w:hAnsi="Times New Roman" w:eastAsia="黑体"/>
          <w:b/>
          <w:color w:val="000000"/>
          <w:sz w:val="24"/>
        </w:rPr>
        <w:t>1.1 问题背景</w:t>
      </w:r>
    </w:p>
    <w:p>
      <w:pPr>
        <w:spacing w:after="120"/>
        <w:ind w:firstLine="420"/>
      </w:pPr>
      <w:r>
        <w:rPr>
          <w:rFonts w:ascii="Times New Roman" w:hAnsi="Times New Roman" w:eastAsia="宋体"/>
          <w:b w:val="0"/>
          <w:sz w:val="21"/>
        </w:rPr>
        <w:t>物流履约过程中的丢失、破损等问题引发客户索赔。企业需综合索赔商品、事故原因等信息判断客户索赔诉求是否合理，并分三类采取差异化策略：合理诉求快速理赔；诉求偏高进入人工审核协商；严重超额采取严格谈赔标准。判断依据是</w:t>
      </w:r>
      <w:r>
        <w:rPr>
          <w:rFonts w:ascii="Times New Roman" w:hAnsi="Times New Roman" w:eastAsia="宋体"/>
          <w:b/>
          <w:sz w:val="21"/>
        </w:rPr>
        <w:t>索赔差额</w:t>
      </w:r>
      <w:r>
        <w:rPr>
          <w:rFonts w:ascii="Times New Roman" w:hAnsi="Times New Roman" w:eastAsia="宋体"/>
          <w:b w:val="0"/>
          <w:sz w:val="21"/>
        </w:rPr>
        <w:t>（= 实际赔付金额 − 索赔金额）：对已完成谈赔的历史运单，实际赔付金额与客户原始索赔金额的比较可以反映诉求的合理程度。理赔结果还可反向优化售前服务推荐。</w:t>
      </w:r>
    </w:p>
    <w:p>
      <w:pPr>
        <w:pStyle w:val="Heading3"/>
      </w:pPr>
      <w:r>
        <w:rPr>
          <w:rFonts w:ascii="Times New Roman" w:hAnsi="Times New Roman" w:eastAsia="黑体"/>
          <w:b/>
          <w:color w:val="000000"/>
          <w:sz w:val="24"/>
        </w:rPr>
        <w:t>1.2 待解决的问题</w:t>
      </w:r>
    </w:p>
    <w:p>
      <w:pPr>
        <w:spacing w:after="120"/>
        <w:ind w:firstLine="420"/>
      </w:pPr>
      <w:r>
        <w:rPr>
          <w:rFonts w:ascii="Times New Roman" w:hAnsi="Times New Roman" w:eastAsia="宋体"/>
          <w:b/>
          <w:sz w:val="21"/>
        </w:rPr>
        <w:t>问题1</w:t>
      </w:r>
      <w:r>
        <w:rPr>
          <w:rFonts w:ascii="Times New Roman" w:hAnsi="Times New Roman" w:eastAsia="宋体"/>
          <w:b w:val="0"/>
          <w:sz w:val="21"/>
        </w:rPr>
        <w:t xml:space="preserve"> 对附件1 中"理赔差额"和"实际赔付金额"进行分析，建立风险标注模型，将运单标注为"合理诉求 / 诉求偏高 / 严重超额"三类，需详细说明划分规则，给出附件1 的标注结果及分析。题面给出的约束包括：严重超额占比通常小于 3%、合理诉求不低于 85%；标注结果同时与索赔差额和实际赔付金额有关；实际赔付金额越高，需要更高的索赔差额才会标注为偏高或严重超额；同一实际赔付金额附近同类运单的索赔差额应尽可能接近；三类索赔差额密集程度须有明显差别（合理密集、严重超额稀疏）。</w:t>
      </w:r>
    </w:p>
    <w:p>
      <w:pPr>
        <w:spacing w:after="120"/>
        <w:ind w:firstLine="420"/>
      </w:pPr>
      <w:r>
        <w:rPr>
          <w:rFonts w:ascii="Times New Roman" w:hAnsi="Times New Roman" w:eastAsia="宋体"/>
          <w:b/>
          <w:sz w:val="21"/>
        </w:rPr>
        <w:t>问题2</w:t>
      </w:r>
      <w:r>
        <w:rPr>
          <w:rFonts w:ascii="Times New Roman" w:hAnsi="Times New Roman" w:eastAsia="宋体"/>
          <w:b w:val="0"/>
          <w:sz w:val="21"/>
        </w:rPr>
        <w:t xml:space="preserve"> 结合附件1 数据建立模型，预测附件2 运单的实际赔付金额，说明评估指标，并将结果填入 result 文件（不得改动运单号）。</w:t>
      </w:r>
    </w:p>
    <w:p>
      <w:pPr>
        <w:spacing w:after="120"/>
        <w:ind w:firstLine="420"/>
      </w:pPr>
      <w:r>
        <w:rPr>
          <w:rFonts w:ascii="Times New Roman" w:hAnsi="Times New Roman" w:eastAsia="宋体"/>
          <w:b/>
          <w:sz w:val="21"/>
        </w:rPr>
        <w:t>问题3</w:t>
      </w:r>
      <w:r>
        <w:rPr>
          <w:rFonts w:ascii="Times New Roman" w:hAnsi="Times New Roman" w:eastAsia="宋体"/>
          <w:b w:val="0"/>
          <w:sz w:val="21"/>
        </w:rPr>
        <w:t xml:space="preserve"> 使用问题1 的风险标注规则并利用附件1 数据建立分类模型，预测附件2 运单的风险标注结果，结果与问题2 同置于一个 result 文件；论文中需详细描述"严重超额"样本占比严重不均衡的处理方法，并论述直接分类方法与问题2"先回归再按规则判定"方法预测风险标注结果的优劣势。</w:t>
      </w:r>
    </w:p>
    <w:p>
      <w:pPr>
        <w:pStyle w:val="Heading2"/>
      </w:pPr>
      <w:r>
        <w:rPr>
          <w:rFonts w:ascii="Times New Roman" w:hAnsi="Times New Roman" w:eastAsia="黑体"/>
          <w:b/>
          <w:color w:val="000000"/>
          <w:sz w:val="28"/>
        </w:rPr>
        <w:t>二、模型假设</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18"/>
              </w:rPr>
              <w:t>编号</w:t>
            </w:r>
          </w:p>
        </w:tc>
        <w:tc>
          <w:tcPr>
            <w:tcW w:type="dxa" w:w="2160"/>
          </w:tcPr>
          <w:p>
            <w:pPr>
              <w:jc w:val="center"/>
            </w:pPr>
            <w:r/>
            <w:r>
              <w:rPr>
                <w:rFonts w:ascii="Times New Roman" w:hAnsi="Times New Roman" w:eastAsia="宋体"/>
                <w:b/>
                <w:sz w:val="18"/>
              </w:rPr>
              <w:t>假设</w:t>
            </w:r>
          </w:p>
        </w:tc>
        <w:tc>
          <w:tcPr>
            <w:tcW w:type="dxa" w:w="2160"/>
          </w:tcPr>
          <w:p>
            <w:pPr>
              <w:jc w:val="center"/>
            </w:pPr>
            <w:r/>
            <w:r>
              <w:rPr>
                <w:rFonts w:ascii="Times New Roman" w:hAnsi="Times New Roman" w:eastAsia="宋体"/>
                <w:b/>
                <w:sz w:val="18"/>
              </w:rPr>
              <w:t>依据</w:t>
            </w:r>
          </w:p>
        </w:tc>
        <w:tc>
          <w:tcPr>
            <w:tcW w:type="dxa" w:w="2160"/>
          </w:tcPr>
          <w:p>
            <w:pPr>
              <w:jc w:val="center"/>
            </w:pPr>
            <w:r/>
            <w:r>
              <w:rPr>
                <w:rFonts w:ascii="Times New Roman" w:hAnsi="Times New Roman" w:eastAsia="宋体"/>
                <w:b/>
                <w:sz w:val="18"/>
              </w:rPr>
              <w:t>适用范围与核验</w:t>
            </w:r>
          </w:p>
        </w:tc>
      </w:tr>
      <w:tr>
        <w:tc>
          <w:tcPr>
            <w:tcW w:type="dxa" w:w="2160"/>
          </w:tcPr>
          <w:p>
            <w:pPr>
              <w:jc w:val="center"/>
            </w:pPr>
            <w:r/>
            <w:r>
              <w:rPr>
                <w:rFonts w:ascii="Times New Roman" w:hAnsi="Times New Roman" w:eastAsia="宋体"/>
                <w:b w:val="0"/>
                <w:sz w:val="18"/>
              </w:rPr>
              <w:t>H1</w:t>
            </w:r>
          </w:p>
        </w:tc>
        <w:tc>
          <w:tcPr>
            <w:tcW w:type="dxa" w:w="2160"/>
          </w:tcPr>
          <w:p>
            <w:pPr>
              <w:jc w:val="center"/>
            </w:pPr>
            <w:r/>
            <w:r>
              <w:rPr>
                <w:rFonts w:ascii="Times New Roman" w:hAnsi="Times New Roman" w:eastAsia="宋体"/>
                <w:b w:val="0"/>
                <w:sz w:val="18"/>
              </w:rPr>
              <w:t>实际赔付金额不超过索赔金额（索赔差额 ≤ 0）</w:t>
            </w:r>
          </w:p>
        </w:tc>
        <w:tc>
          <w:tcPr>
            <w:tcW w:type="dxa" w:w="2160"/>
          </w:tcPr>
          <w:p>
            <w:pPr>
              <w:jc w:val="center"/>
            </w:pPr>
            <w:r/>
            <w:r>
              <w:rPr>
                <w:rFonts w:ascii="Times New Roman" w:hAnsi="Times New Roman" w:eastAsia="宋体"/>
                <w:b w:val="0"/>
                <w:sz w:val="18"/>
              </w:rPr>
              <w:t>题面"减少超额赔付"的业务语义；数据核实：附件1 索赔差额最大值 −0.08 元，无一例外</w:t>
            </w:r>
          </w:p>
        </w:tc>
        <w:tc>
          <w:tcPr>
            <w:tcW w:type="dxa" w:w="2160"/>
          </w:tcPr>
          <w:p>
            <w:pPr>
              <w:jc w:val="center"/>
            </w:pPr>
            <w:r/>
            <w:r>
              <w:rPr>
                <w:rFonts w:ascii="Times New Roman" w:hAnsi="Times New Roman" w:eastAsia="宋体"/>
                <w:b w:val="0"/>
                <w:sz w:val="18"/>
              </w:rPr>
              <w:t>问题1 规则设计与方向判断；超额索赔额 u ≥ 0</w:t>
            </w:r>
          </w:p>
        </w:tc>
      </w:tr>
      <w:tr>
        <w:tc>
          <w:tcPr>
            <w:tcW w:type="dxa" w:w="2160"/>
          </w:tcPr>
          <w:p>
            <w:pPr>
              <w:jc w:val="center"/>
            </w:pPr>
            <w:r/>
            <w:r>
              <w:rPr>
                <w:rFonts w:ascii="Times New Roman" w:hAnsi="Times New Roman" w:eastAsia="宋体"/>
                <w:b w:val="0"/>
                <w:sz w:val="18"/>
              </w:rPr>
              <w:t>H2</w:t>
            </w:r>
          </w:p>
        </w:tc>
        <w:tc>
          <w:tcPr>
            <w:tcW w:type="dxa" w:w="2160"/>
          </w:tcPr>
          <w:p>
            <w:pPr>
              <w:jc w:val="center"/>
            </w:pPr>
            <w:r/>
            <w:r>
              <w:rPr>
                <w:rFonts w:ascii="Times New Roman" w:hAnsi="Times New Roman" w:eastAsia="宋体"/>
                <w:b w:val="0"/>
                <w:sz w:val="18"/>
              </w:rPr>
              <w:t>附件2 与附件1 来自同一运单生成过程，分布一致</w:t>
            </w:r>
          </w:p>
        </w:tc>
        <w:tc>
          <w:tcPr>
            <w:tcW w:type="dxa" w:w="2160"/>
          </w:tcPr>
          <w:p>
            <w:pPr>
              <w:jc w:val="center"/>
            </w:pPr>
            <w:r/>
            <w:r>
              <w:rPr>
                <w:rFonts w:ascii="Times New Roman" w:hAnsi="Times New Roman" w:eastAsia="宋体"/>
                <w:b w:val="0"/>
                <w:sz w:val="18"/>
              </w:rPr>
              <w:t>题面"历史运单/未来运单"同属一个业务体系</w:t>
            </w:r>
          </w:p>
        </w:tc>
        <w:tc>
          <w:tcPr>
            <w:tcW w:type="dxa" w:w="2160"/>
          </w:tcPr>
          <w:p>
            <w:pPr>
              <w:jc w:val="center"/>
            </w:pPr>
            <w:r/>
            <w:r>
              <w:rPr>
                <w:rFonts w:ascii="Times New Roman" w:hAnsi="Times New Roman" w:eastAsia="宋体"/>
                <w:b w:val="0"/>
                <w:sz w:val="18"/>
              </w:rPr>
              <w:t>支持模型迁移；核验：两附件全部类别特征比例差 ≤1.5 个百分点，数值特征分位数同量级</w:t>
            </w:r>
          </w:p>
        </w:tc>
      </w:tr>
      <w:tr>
        <w:tc>
          <w:tcPr>
            <w:tcW w:type="dxa" w:w="2160"/>
          </w:tcPr>
          <w:p>
            <w:pPr>
              <w:jc w:val="center"/>
            </w:pPr>
            <w:r/>
            <w:r>
              <w:rPr>
                <w:rFonts w:ascii="Times New Roman" w:hAnsi="Times New Roman" w:eastAsia="宋体"/>
                <w:b w:val="0"/>
                <w:sz w:val="18"/>
              </w:rPr>
              <w:t>H3</w:t>
            </w:r>
          </w:p>
        </w:tc>
        <w:tc>
          <w:tcPr>
            <w:tcW w:type="dxa" w:w="2160"/>
          </w:tcPr>
          <w:p>
            <w:pPr>
              <w:jc w:val="center"/>
            </w:pPr>
            <w:r/>
            <w:r>
              <w:rPr>
                <w:rFonts w:ascii="Times New Roman" w:hAnsi="Times New Roman" w:eastAsia="宋体"/>
                <w:b w:val="0"/>
                <w:sz w:val="18"/>
              </w:rPr>
              <w:t>实际赔付金额可由运单特征有限精度预测</w:t>
            </w:r>
          </w:p>
        </w:tc>
        <w:tc>
          <w:tcPr>
            <w:tcW w:type="dxa" w:w="2160"/>
          </w:tcPr>
          <w:p>
            <w:pPr>
              <w:jc w:val="center"/>
            </w:pPr>
            <w:r/>
            <w:r>
              <w:rPr>
                <w:rFonts w:ascii="Times New Roman" w:hAnsi="Times New Roman" w:eastAsia="宋体"/>
                <w:b w:val="0"/>
                <w:sz w:val="18"/>
              </w:rPr>
              <w:t>题面给出"预测实际赔付金额"的分析方式；附表1 特征覆盖运单、客诉、行为三层面</w:t>
            </w:r>
          </w:p>
        </w:tc>
        <w:tc>
          <w:tcPr>
            <w:tcW w:type="dxa" w:w="2160"/>
          </w:tcPr>
          <w:p>
            <w:pPr>
              <w:jc w:val="center"/>
            </w:pPr>
            <w:r/>
            <w:r>
              <w:rPr>
                <w:rFonts w:ascii="Times New Roman" w:hAnsi="Times New Roman" w:eastAsia="宋体"/>
                <w:b w:val="0"/>
                <w:sz w:val="18"/>
              </w:rPr>
              <w:t>问题2 与路线B；实测 MAE≈96 元（赔付中位数的 48%），可预测性有限但显著优于基线</w:t>
            </w:r>
          </w:p>
        </w:tc>
      </w:tr>
      <w:tr>
        <w:tc>
          <w:tcPr>
            <w:tcW w:type="dxa" w:w="2160"/>
          </w:tcPr>
          <w:p>
            <w:pPr>
              <w:jc w:val="center"/>
            </w:pPr>
            <w:r/>
            <w:r>
              <w:rPr>
                <w:rFonts w:ascii="Times New Roman" w:hAnsi="Times New Roman" w:eastAsia="宋体"/>
                <w:b w:val="0"/>
                <w:sz w:val="18"/>
              </w:rPr>
              <w:t>H4</w:t>
            </w:r>
          </w:p>
        </w:tc>
        <w:tc>
          <w:tcPr>
            <w:tcW w:type="dxa" w:w="2160"/>
          </w:tcPr>
          <w:p>
            <w:pPr>
              <w:jc w:val="center"/>
            </w:pPr>
            <w:r/>
            <w:r>
              <w:rPr>
                <w:rFonts w:ascii="Times New Roman" w:hAnsi="Times New Roman" w:eastAsia="宋体"/>
                <w:b w:val="0"/>
                <w:sz w:val="18"/>
              </w:rPr>
              <w:t>问题1 规则参数一经估计即确定性应用于附件2 与问题3 标签生成</w:t>
            </w:r>
          </w:p>
        </w:tc>
        <w:tc>
          <w:tcPr>
            <w:tcW w:type="dxa" w:w="2160"/>
          </w:tcPr>
          <w:p>
            <w:pPr>
              <w:jc w:val="center"/>
            </w:pPr>
            <w:r/>
            <w:r>
              <w:rPr>
                <w:rFonts w:ascii="Times New Roman" w:hAnsi="Times New Roman" w:eastAsia="宋体"/>
                <w:b w:val="0"/>
                <w:sz w:val="18"/>
              </w:rPr>
              <w:t>题面问题3 明示"使用问题1 中给出的风险标注规则"</w:t>
            </w:r>
          </w:p>
        </w:tc>
        <w:tc>
          <w:tcPr>
            <w:tcW w:type="dxa" w:w="2160"/>
          </w:tcPr>
          <w:p>
            <w:pPr>
              <w:jc w:val="center"/>
            </w:pPr>
            <w:r/>
            <w:r>
              <w:rPr>
                <w:rFonts w:ascii="Times New Roman" w:hAnsi="Times New Roman" w:eastAsia="宋体"/>
                <w:b w:val="0"/>
                <w:sz w:val="18"/>
              </w:rPr>
              <w:t>规则以纯函数形式冻结（rule_final.json）</w:t>
            </w:r>
          </w:p>
        </w:tc>
      </w:tr>
      <w:tr>
        <w:tc>
          <w:tcPr>
            <w:tcW w:type="dxa" w:w="2160"/>
          </w:tcPr>
          <w:p>
            <w:pPr>
              <w:jc w:val="center"/>
            </w:pPr>
            <w:r/>
            <w:r>
              <w:rPr>
                <w:rFonts w:ascii="Times New Roman" w:hAnsi="Times New Roman" w:eastAsia="宋体"/>
                <w:b w:val="0"/>
                <w:sz w:val="18"/>
              </w:rPr>
              <w:t>H5</w:t>
            </w:r>
          </w:p>
        </w:tc>
        <w:tc>
          <w:tcPr>
            <w:tcW w:type="dxa" w:w="2160"/>
          </w:tcPr>
          <w:p>
            <w:pPr>
              <w:jc w:val="center"/>
            </w:pPr>
            <w:r/>
            <w:r>
              <w:rPr>
                <w:rFonts w:ascii="Times New Roman" w:hAnsi="Times New Roman" w:eastAsia="宋体"/>
                <w:b w:val="0"/>
                <w:sz w:val="18"/>
              </w:rPr>
              <w:t>缺失与异常为记录性而非信息性</w:t>
            </w:r>
          </w:p>
        </w:tc>
        <w:tc>
          <w:tcPr>
            <w:tcW w:type="dxa" w:w="2160"/>
          </w:tcPr>
          <w:p>
            <w:pPr>
              <w:jc w:val="center"/>
            </w:pPr>
            <w:r/>
            <w:r>
              <w:rPr>
                <w:rFonts w:ascii="Times New Roman" w:hAnsi="Times New Roman" w:eastAsia="宋体"/>
                <w:b w:val="0"/>
                <w:sz w:val="18"/>
              </w:rPr>
              <w:t>通用数据工程假设</w:t>
            </w:r>
          </w:p>
        </w:tc>
        <w:tc>
          <w:tcPr>
            <w:tcW w:type="dxa" w:w="2160"/>
          </w:tcPr>
          <w:p>
            <w:pPr>
              <w:jc w:val="center"/>
            </w:pPr>
            <w:r/>
            <w:r>
              <w:rPr>
                <w:rFonts w:ascii="Times New Roman" w:hAnsi="Times New Roman" w:eastAsia="宋体"/>
                <w:b w:val="0"/>
                <w:sz w:val="18"/>
              </w:rPr>
              <w:t>异常原因缺失 48.6% 语义为"未提报"，作独立类别；数值陷阱保留原值并加指示特征，不删样本</w:t>
            </w:r>
          </w:p>
        </w:tc>
      </w:tr>
      <w:tr>
        <w:tc>
          <w:tcPr>
            <w:tcW w:type="dxa" w:w="2160"/>
          </w:tcPr>
          <w:p>
            <w:pPr>
              <w:jc w:val="center"/>
            </w:pPr>
            <w:r/>
            <w:r>
              <w:rPr>
                <w:rFonts w:ascii="Times New Roman" w:hAnsi="Times New Roman" w:eastAsia="宋体"/>
                <w:b w:val="0"/>
                <w:sz w:val="18"/>
              </w:rPr>
              <w:t>H6</w:t>
            </w:r>
          </w:p>
        </w:tc>
        <w:tc>
          <w:tcPr>
            <w:tcW w:type="dxa" w:w="2160"/>
          </w:tcPr>
          <w:p>
            <w:pPr>
              <w:jc w:val="center"/>
            </w:pPr>
            <w:r/>
            <w:r>
              <w:rPr>
                <w:rFonts w:ascii="Times New Roman" w:hAnsi="Times New Roman" w:eastAsia="宋体"/>
                <w:b w:val="0"/>
                <w:sz w:val="18"/>
              </w:rPr>
              <w:t>索赔金额存在 100 元的分布下限</w:t>
            </w:r>
          </w:p>
        </w:tc>
        <w:tc>
          <w:tcPr>
            <w:tcW w:type="dxa" w:w="2160"/>
          </w:tcPr>
          <w:p>
            <w:pPr>
              <w:jc w:val="center"/>
            </w:pPr>
            <w:r/>
            <w:r>
              <w:rPr>
                <w:rFonts w:ascii="Times New Roman" w:hAnsi="Times New Roman" w:eastAsia="宋体"/>
                <w:b w:val="0"/>
                <w:sz w:val="18"/>
              </w:rPr>
              <w:t>数据事实：附件1 索赔金额 ∈ [100, 5498.77]</w:t>
            </w:r>
          </w:p>
        </w:tc>
        <w:tc>
          <w:tcPr>
            <w:tcW w:type="dxa" w:w="2160"/>
          </w:tcPr>
          <w:p>
            <w:pPr>
              <w:jc w:val="center"/>
            </w:pPr>
            <w:r/>
            <w:r>
              <w:rPr>
                <w:rFonts w:ascii="Times New Roman" w:hAnsi="Times New Roman" w:eastAsia="宋体"/>
                <w:b w:val="0"/>
                <w:sz w:val="18"/>
              </w:rPr>
              <w:t>导致低赔付区赔付率被结构性压低，规则设计须含绝对量项（见 §4.2）</w:t>
            </w:r>
          </w:p>
        </w:tc>
      </w:tr>
    </w:tbl>
    <w:p>
      <w:pPr>
        <w:spacing w:after="40"/>
      </w:pPr>
    </w:p>
    <w:p>
      <w:pPr>
        <w:pStyle w:val="Heading2"/>
      </w:pPr>
      <w:r>
        <w:rPr>
          <w:rFonts w:ascii="Times New Roman" w:hAnsi="Times New Roman" w:eastAsia="黑体"/>
          <w:b/>
          <w:color w:val="000000"/>
          <w:sz w:val="28"/>
        </w:rPr>
        <w:t>三、符号说明</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eastAsia="宋体"/>
                <w:b/>
                <w:sz w:val="18"/>
              </w:rPr>
              <w:t>符号</w:t>
            </w:r>
          </w:p>
        </w:tc>
        <w:tc>
          <w:tcPr>
            <w:tcW w:type="dxa" w:w="4320"/>
          </w:tcPr>
          <w:p>
            <w:pPr>
              <w:jc w:val="center"/>
            </w:pPr>
            <w:r/>
            <w:r>
              <w:rPr>
                <w:rFonts w:ascii="Times New Roman" w:hAnsi="Times New Roman" w:eastAsia="宋体"/>
                <w:b/>
                <w:sz w:val="18"/>
              </w:rPr>
              <w:t>含义</w:t>
            </w:r>
          </w:p>
        </w:tc>
      </w:tr>
      <w:tr>
        <w:tc>
          <w:tcPr>
            <w:tcW w:type="dxa" w:w="4320"/>
          </w:tcPr>
          <w:p>
            <w:pPr>
              <w:jc w:val="center"/>
            </w:pPr>
            <w:r/>
            <w:r>
              <w:rPr>
                <w:rFonts w:ascii="Times New Roman" w:hAnsi="Times New Roman" w:eastAsia="宋体"/>
                <w:b w:val="0"/>
                <w:sz w:val="18"/>
              </w:rPr>
              <w:t>p</w:t>
            </w:r>
          </w:p>
        </w:tc>
        <w:tc>
          <w:tcPr>
            <w:tcW w:type="dxa" w:w="4320"/>
          </w:tcPr>
          <w:p>
            <w:pPr>
              <w:jc w:val="center"/>
            </w:pPr>
            <w:r/>
            <w:r>
              <w:rPr>
                <w:rFonts w:ascii="Times New Roman" w:hAnsi="Times New Roman" w:eastAsia="宋体"/>
                <w:b w:val="0"/>
                <w:sz w:val="18"/>
              </w:rPr>
              <w:t>实际赔付金额（元）</w:t>
            </w:r>
          </w:p>
        </w:tc>
      </w:tr>
      <w:tr>
        <w:tc>
          <w:tcPr>
            <w:tcW w:type="dxa" w:w="4320"/>
          </w:tcPr>
          <w:p>
            <w:pPr>
              <w:jc w:val="center"/>
            </w:pPr>
            <w:r/>
            <w:r>
              <w:rPr>
                <w:rFonts w:ascii="Times New Roman" w:hAnsi="Times New Roman" w:eastAsia="宋体"/>
                <w:b w:val="0"/>
                <w:sz w:val="18"/>
              </w:rPr>
              <w:t>c</w:t>
            </w:r>
          </w:p>
        </w:tc>
        <w:tc>
          <w:tcPr>
            <w:tcW w:type="dxa" w:w="4320"/>
          </w:tcPr>
          <w:p>
            <w:pPr>
              <w:jc w:val="center"/>
            </w:pPr>
            <w:r/>
            <w:r>
              <w:rPr>
                <w:rFonts w:ascii="Times New Roman" w:hAnsi="Times New Roman" w:eastAsia="宋体"/>
                <w:b w:val="0"/>
                <w:sz w:val="18"/>
              </w:rPr>
              <w:t>索赔金额（元），c ≥ 100</w:t>
            </w:r>
          </w:p>
        </w:tc>
      </w:tr>
      <w:tr>
        <w:tc>
          <w:tcPr>
            <w:tcW w:type="dxa" w:w="4320"/>
          </w:tcPr>
          <w:p>
            <w:pPr>
              <w:jc w:val="center"/>
            </w:pPr>
            <w:r/>
            <w:r>
              <w:rPr>
                <w:rFonts w:ascii="Times New Roman" w:hAnsi="Times New Roman" w:eastAsia="宋体"/>
                <w:b w:val="0"/>
                <w:sz w:val="18"/>
              </w:rPr>
              <w:t>d</w:t>
            </w:r>
          </w:p>
        </w:tc>
        <w:tc>
          <w:tcPr>
            <w:tcW w:type="dxa" w:w="4320"/>
          </w:tcPr>
          <w:p>
            <w:pPr>
              <w:jc w:val="center"/>
            </w:pPr>
            <w:r/>
            <w:r>
              <w:rPr>
                <w:rFonts w:ascii="Times New Roman" w:hAnsi="Times New Roman" w:eastAsia="宋体"/>
                <w:b w:val="0"/>
                <w:sz w:val="18"/>
              </w:rPr>
              <w:t>索赔差额 = p − c ≤ 0</w:t>
            </w:r>
          </w:p>
        </w:tc>
      </w:tr>
      <w:tr>
        <w:tc>
          <w:tcPr>
            <w:tcW w:type="dxa" w:w="4320"/>
          </w:tcPr>
          <w:p>
            <w:pPr>
              <w:jc w:val="center"/>
            </w:pPr>
            <w:r/>
            <w:r>
              <w:rPr>
                <w:rFonts w:ascii="Times New Roman" w:hAnsi="Times New Roman" w:eastAsia="宋体"/>
                <w:b w:val="0"/>
                <w:sz w:val="18"/>
              </w:rPr>
              <w:t>u = −d = c − p</w:t>
            </w:r>
          </w:p>
        </w:tc>
        <w:tc>
          <w:tcPr>
            <w:tcW w:type="dxa" w:w="4320"/>
          </w:tcPr>
          <w:p>
            <w:pPr>
              <w:jc w:val="center"/>
            </w:pPr>
            <w:r/>
            <w:r>
              <w:rPr>
                <w:rFonts w:ascii="Times New Roman" w:hAnsi="Times New Roman" w:eastAsia="宋体"/>
                <w:b w:val="0"/>
                <w:sz w:val="18"/>
              </w:rPr>
              <w:t>超额索赔额（本文主用非负量）</w:t>
            </w:r>
          </w:p>
        </w:tc>
      </w:tr>
      <w:tr>
        <w:tc>
          <w:tcPr>
            <w:tcW w:type="dxa" w:w="4320"/>
          </w:tcPr>
          <w:p>
            <w:pPr>
              <w:jc w:val="center"/>
            </w:pPr>
            <w:r/>
            <w:r>
              <w:rPr>
                <w:rFonts w:ascii="Times New Roman" w:hAnsi="Times New Roman" w:eastAsia="宋体"/>
                <w:b w:val="0"/>
                <w:sz w:val="18"/>
              </w:rPr>
              <w:t>y ∈ {0, 1, 2}</w:t>
            </w:r>
          </w:p>
        </w:tc>
        <w:tc>
          <w:tcPr>
            <w:tcW w:type="dxa" w:w="4320"/>
          </w:tcPr>
          <w:p>
            <w:pPr>
              <w:jc w:val="center"/>
            </w:pPr>
            <w:r/>
            <w:r>
              <w:rPr>
                <w:rFonts w:ascii="Times New Roman" w:hAnsi="Times New Roman" w:eastAsia="宋体"/>
                <w:b w:val="0"/>
                <w:sz w:val="18"/>
              </w:rPr>
              <w:t>风险标注：0=合理诉求，1=诉求偏高，2=严重超额</w:t>
            </w:r>
          </w:p>
        </w:tc>
      </w:tr>
      <w:tr>
        <w:tc>
          <w:tcPr>
            <w:tcW w:type="dxa" w:w="4320"/>
          </w:tcPr>
          <w:p>
            <w:pPr>
              <w:jc w:val="center"/>
            </w:pPr>
            <w:r/>
            <w:r>
              <w:rPr>
                <w:rFonts w:ascii="Times New Roman" w:hAnsi="Times New Roman" w:eastAsia="宋体"/>
                <w:b w:val="0"/>
                <w:sz w:val="18"/>
              </w:rPr>
              <w:t>T₁(p), T₂(p)</w:t>
            </w:r>
          </w:p>
        </w:tc>
        <w:tc>
          <w:tcPr>
            <w:tcW w:type="dxa" w:w="4320"/>
          </w:tcPr>
          <w:p>
            <w:pPr>
              <w:jc w:val="center"/>
            </w:pPr>
            <w:r/>
            <w:r>
              <w:rPr>
                <w:rFonts w:ascii="Times New Roman" w:hAnsi="Times New Roman" w:eastAsia="宋体"/>
                <w:b w:val="0"/>
                <w:sz w:val="18"/>
              </w:rPr>
              <w:t>标注规则的两条单调递增边界函数</w:t>
            </w:r>
          </w:p>
        </w:tc>
      </w:tr>
      <w:tr>
        <w:tc>
          <w:tcPr>
            <w:tcW w:type="dxa" w:w="4320"/>
          </w:tcPr>
          <w:p>
            <w:pPr>
              <w:jc w:val="center"/>
            </w:pPr>
            <w:r/>
            <w:r>
              <w:rPr>
                <w:rFonts w:ascii="Times New Roman" w:hAnsi="Times New Roman" w:eastAsia="宋体"/>
                <w:b w:val="0"/>
                <w:sz w:val="18"/>
              </w:rPr>
              <w:t>τ₁, τ₂</w:t>
            </w:r>
          </w:p>
        </w:tc>
        <w:tc>
          <w:tcPr>
            <w:tcW w:type="dxa" w:w="4320"/>
          </w:tcPr>
          <w:p>
            <w:pPr>
              <w:jc w:val="center"/>
            </w:pPr>
            <w:r/>
            <w:r>
              <w:rPr>
                <w:rFonts w:ascii="Times New Roman" w:hAnsi="Times New Roman" w:eastAsia="宋体"/>
                <w:b w:val="0"/>
                <w:sz w:val="18"/>
              </w:rPr>
              <w:t>边界拟合的条件分位水平</w:t>
            </w:r>
          </w:p>
        </w:tc>
      </w:tr>
      <w:tr>
        <w:tc>
          <w:tcPr>
            <w:tcW w:type="dxa" w:w="4320"/>
          </w:tcPr>
          <w:p>
            <w:pPr>
              <w:jc w:val="center"/>
            </w:pPr>
            <w:r/>
            <w:r>
              <w:rPr>
                <w:rFonts w:ascii="Times New Roman" w:hAnsi="Times New Roman" w:eastAsia="宋体"/>
                <w:b w:val="0"/>
                <w:sz w:val="18"/>
              </w:rPr>
              <w:t>p̂</w:t>
            </w:r>
          </w:p>
        </w:tc>
        <w:tc>
          <w:tcPr>
            <w:tcW w:type="dxa" w:w="4320"/>
          </w:tcPr>
          <w:p>
            <w:pPr>
              <w:jc w:val="center"/>
            </w:pPr>
            <w:r/>
            <w:r>
              <w:rPr>
                <w:rFonts w:ascii="Times New Roman" w:hAnsi="Times New Roman" w:eastAsia="宋体"/>
                <w:b w:val="0"/>
                <w:sz w:val="18"/>
              </w:rPr>
              <w:t>问题2 模型对 p 的预测值（预测赔付金额）</w:t>
            </w:r>
          </w:p>
        </w:tc>
      </w:tr>
      <w:tr>
        <w:tc>
          <w:tcPr>
            <w:tcW w:type="dxa" w:w="4320"/>
          </w:tcPr>
          <w:p>
            <w:pPr>
              <w:jc w:val="center"/>
            </w:pPr>
            <w:r/>
            <w:r>
              <w:rPr>
                <w:rFonts w:ascii="Times New Roman" w:hAnsi="Times New Roman" w:eastAsia="宋体"/>
                <w:b w:val="0"/>
                <w:sz w:val="18"/>
              </w:rPr>
              <w:t>MAE / RMSE / WAPE</w:t>
            </w:r>
          </w:p>
        </w:tc>
        <w:tc>
          <w:tcPr>
            <w:tcW w:type="dxa" w:w="4320"/>
          </w:tcPr>
          <w:p>
            <w:pPr>
              <w:jc w:val="center"/>
            </w:pPr>
            <w:r/>
            <w:r>
              <w:rPr>
                <w:rFonts w:ascii="Times New Roman" w:hAnsi="Times New Roman" w:eastAsia="宋体"/>
                <w:b w:val="0"/>
                <w:sz w:val="18"/>
              </w:rPr>
              <w:t>平均绝对误差 / 均方根误差 / 加权绝对百分比误差</w:t>
            </w:r>
          </w:p>
        </w:tc>
      </w:tr>
      <w:tr>
        <w:tc>
          <w:tcPr>
            <w:tcW w:type="dxa" w:w="4320"/>
          </w:tcPr>
          <w:p>
            <w:pPr>
              <w:jc w:val="center"/>
            </w:pPr>
            <w:r/>
            <w:r>
              <w:rPr>
                <w:rFonts w:ascii="Times New Roman" w:hAnsi="Times New Roman" w:eastAsia="宋体"/>
                <w:b w:val="0"/>
                <w:sz w:val="18"/>
              </w:rPr>
              <w:t>宏F1</w:t>
            </w:r>
          </w:p>
        </w:tc>
        <w:tc>
          <w:tcPr>
            <w:tcW w:type="dxa" w:w="4320"/>
          </w:tcPr>
          <w:p>
            <w:pPr>
              <w:jc w:val="center"/>
            </w:pPr>
            <w:r/>
            <w:r>
              <w:rPr>
                <w:rFonts w:ascii="Times New Roman" w:hAnsi="Times New Roman" w:eastAsia="宋体"/>
                <w:b w:val="0"/>
                <w:sz w:val="18"/>
              </w:rPr>
              <w:t>三类 F1 的算术平均（不均衡分类主指标）</w:t>
            </w:r>
          </w:p>
        </w:tc>
      </w:tr>
    </w:tbl>
    <w:p>
      <w:pPr>
        <w:spacing w:after="40"/>
      </w:pPr>
    </w:p>
    <w:p>
      <w:pPr>
        <w:pStyle w:val="Heading2"/>
      </w:pPr>
      <w:r>
        <w:rPr>
          <w:rFonts w:ascii="Times New Roman" w:hAnsi="Times New Roman" w:eastAsia="黑体"/>
          <w:b/>
          <w:color w:val="000000"/>
          <w:sz w:val="28"/>
        </w:rPr>
        <w:t>四、问题1：风险标注模型的建立与求解</w:t>
      </w:r>
    </w:p>
    <w:p>
      <w:pPr>
        <w:pStyle w:val="Heading3"/>
      </w:pPr>
      <w:r>
        <w:rPr>
          <w:rFonts w:ascii="Times New Roman" w:hAnsi="Times New Roman" w:eastAsia="黑体"/>
          <w:b/>
          <w:color w:val="000000"/>
          <w:sz w:val="24"/>
        </w:rPr>
        <w:t>4.1 数据分析：标注平面的结构</w:t>
      </w:r>
    </w:p>
    <w:p>
      <w:pPr>
        <w:spacing w:after="120"/>
        <w:ind w:firstLine="420"/>
      </w:pPr>
      <w:r>
        <w:rPr>
          <w:rFonts w:ascii="Times New Roman" w:hAnsi="Times New Roman" w:eastAsia="宋体"/>
          <w:b w:val="0"/>
          <w:sz w:val="21"/>
        </w:rPr>
        <w:t>对附件1（有效样本 11,167 条，已剔除嵌入数据中的 1 行英文变量名行）计算 u = c − p。基本事实：</w:t>
      </w:r>
    </w:p>
    <w:p>
      <w:pPr>
        <w:spacing w:after="60"/>
      </w:pPr>
      <w:r>
        <w:rPr>
          <w:rFonts w:ascii="Times New Roman" w:hAnsi="Times New Roman" w:eastAsia="宋体"/>
          <w:b w:val="0"/>
          <w:sz w:val="21"/>
        </w:rPr>
        <w:t>· u ∈ [0.08, 4463.58]，中位数 282.94 元；赔付率 p/c 中位数 0.375；</w:t>
      </w:r>
    </w:p>
    <w:p>
      <w:pPr>
        <w:spacing w:after="60"/>
      </w:pPr>
      <w:r>
        <w:rPr>
          <w:rFonts w:ascii="Times New Roman" w:hAnsi="Times New Roman" w:eastAsia="宋体"/>
          <w:b w:val="0"/>
          <w:sz w:val="21"/>
        </w:rPr>
        <w:t>· u 的条件分位数随赔付金额</w:t>
      </w:r>
      <w:r>
        <w:rPr>
          <w:rFonts w:ascii="Times New Roman" w:hAnsi="Times New Roman" w:eastAsia="宋体"/>
          <w:b/>
          <w:sz w:val="21"/>
        </w:rPr>
        <w:t>单调强上升</w:t>
      </w:r>
      <w:r>
        <w:rPr>
          <w:rFonts w:ascii="Times New Roman" w:hAnsi="Times New Roman" w:eastAsia="宋体"/>
          <w:b w:val="0"/>
          <w:sz w:val="21"/>
        </w:rPr>
        <w:t>：按赔付十分位分箱，u 的 85% 分位从最低箱的 237.9 元升至最高箱的 2500.8 元，97% 分位从 532.9 元升至 3594.5 元——直接印证题面"实际赔付金额越高，需要更高的索赔差额才会标注为偏高/严重超额"；</w:t>
      </w:r>
    </w:p>
    <w:p>
      <w:pPr>
        <w:spacing w:after="60"/>
      </w:pPr>
      <w:r>
        <w:rPr>
          <w:rFonts w:ascii="Times New Roman" w:hAnsi="Times New Roman" w:eastAsia="宋体"/>
          <w:b w:val="0"/>
          <w:sz w:val="21"/>
        </w:rPr>
        <w:t>· 赔付率 p/c 的分位数在赔付高于 100 元的各箱近似水平（85% 分位 0.71~0.77），但赔付不高于 100 元的两箱显著偏低（0.24 / 0.49）。原因在于 H6：索赔金额不低于 100 元，使低赔付运单的 u 被迫不低于 100 − p，纯比值规则会把全部低赔付运单（约 10%）划出合理类，违反占比约束。</w:t>
      </w:r>
      <w:r>
        <w:rPr>
          <w:rFonts w:ascii="Times New Roman" w:hAnsi="Times New Roman" w:eastAsia="宋体"/>
          <w:b/>
          <w:sz w:val="21"/>
        </w:rPr>
        <w:t>因此边界必须包含绝对量项</w:t>
      </w:r>
      <w:r>
        <w:rPr>
          <w:rFonts w:ascii="Times New Roman" w:hAnsi="Times New Roman" w:eastAsia="宋体"/>
          <w:b w:val="0"/>
          <w:sz w:val="21"/>
        </w:rPr>
        <w:t>；</w:t>
      </w:r>
    </w:p>
    <w:p>
      <w:pPr>
        <w:spacing w:after="60"/>
      </w:pPr>
      <w:r>
        <w:rPr>
          <w:rFonts w:ascii="Times New Roman" w:hAnsi="Times New Roman" w:eastAsia="宋体"/>
          <w:b w:val="0"/>
          <w:sz w:val="21"/>
        </w:rPr>
        <w:t>· u 的直方图、log(1+u) 直方图与赔付率直方图均平滑、无天然密度谷与多峰跳变——三类标签无法从现成"空隙"中读出，必须按题面约束主动构造。</w:t>
      </w:r>
    </w:p>
    <w:p>
      <w:pPr>
        <w:pStyle w:val="Heading3"/>
      </w:pPr>
      <w:r>
        <w:rPr>
          <w:rFonts w:ascii="Times New Roman" w:hAnsi="Times New Roman" w:eastAsia="黑体"/>
          <w:b/>
          <w:color w:val="000000"/>
          <w:sz w:val="24"/>
        </w:rPr>
        <w:t>4.2 规则设计：双阈值单调边界</w:t>
      </w:r>
    </w:p>
    <w:p>
      <w:pPr>
        <w:spacing w:after="120"/>
        <w:ind w:firstLine="420"/>
      </w:pPr>
      <w:r>
        <w:rPr>
          <w:rFonts w:ascii="Times New Roman" w:hAnsi="Times New Roman" w:eastAsia="宋体"/>
          <w:b w:val="0"/>
          <w:sz w:val="21"/>
        </w:rPr>
        <w:t>标注只依赖（实际赔付金额，索赔差额）（题面问题1 的建模对象；问题3 路线B 的可比性也要求规则为 (p, u) 的纯函数）。以 u 为纵轴，规则为三条文字表述的判定式：</w:t>
      </w:r>
    </w:p>
    <w:p>
      <w:pPr>
        <w:spacing w:after="120"/>
        <w:ind w:firstLine="420"/>
      </w:pPr>
      <w:r>
        <w:rPr>
          <w:rFonts w:ascii="Times New Roman" w:hAnsi="Times New Roman" w:eastAsia="宋体"/>
          <w:b w:val="0"/>
          <w:sz w:val="21"/>
        </w:rPr>
        <w:t>y = 0（合理诉求），当 u ≤ T₁(p)；</w:t>
      </w:r>
    </w:p>
    <w:p>
      <w:pPr>
        <w:spacing w:after="120"/>
        <w:ind w:firstLine="420"/>
      </w:pPr>
      <w:r>
        <w:rPr>
          <w:rFonts w:ascii="Times New Roman" w:hAnsi="Times New Roman" w:eastAsia="宋体"/>
          <w:b w:val="0"/>
          <w:sz w:val="21"/>
        </w:rPr>
        <w:t>y = 1（诉求偏高），当 T₁(p) &lt; u ≤ T₂(p)；</w:t>
      </w:r>
    </w:p>
    <w:p>
      <w:pPr>
        <w:spacing w:after="120"/>
        <w:ind w:firstLine="420"/>
      </w:pPr>
      <w:r>
        <w:rPr>
          <w:rFonts w:ascii="Times New Roman" w:hAnsi="Times New Roman" w:eastAsia="宋体"/>
          <w:b w:val="0"/>
          <w:sz w:val="21"/>
        </w:rPr>
        <w:t>y = 2（严重超额），当 u &gt; T₂(p)。</w:t>
      </w:r>
    </w:p>
    <w:p>
      <w:pPr>
        <w:spacing w:after="120"/>
        <w:ind w:firstLine="420"/>
      </w:pPr>
      <w:r>
        <w:rPr>
          <w:rFonts w:ascii="Times New Roman" w:hAnsi="Times New Roman" w:eastAsia="宋体"/>
          <w:b w:val="0"/>
          <w:sz w:val="21"/>
        </w:rPr>
        <w:t>约束条件：(i) T₁、T₂ 关于 p 非降（题面 C5）；(ii) T₂(p) &gt; T₁(p) 全域成立；(iii) 同一赔付邻域内同类样本的 u 落于同一连续区间，类内紧凑由结构保证（题面 C6）；(iv) 合理类占据 u 的高密度区、严重类位于稀疏尾部（题面 C7）。</w:t>
      </w:r>
    </w:p>
    <w:p>
      <w:pPr>
        <w:spacing w:after="120"/>
        <w:ind w:firstLine="420"/>
      </w:pPr>
      <w:r>
        <w:rPr>
          <w:rFonts w:ascii="Times New Roman" w:hAnsi="Times New Roman" w:eastAsia="宋体"/>
          <w:b w:val="0"/>
          <w:sz w:val="21"/>
        </w:rPr>
        <w:t>边界形态考虑四种候选：M1 分箱分位数+保序回归；M2 参数曲线 T(p) = α + β·p^γ（γ ≥ 1）；M3 条件分位数回归；M4 比例+绝对下限复合。择优结果：</w:t>
      </w:r>
      <w:r>
        <w:rPr>
          <w:rFonts w:ascii="Times New Roman" w:hAnsi="Times New Roman" w:eastAsia="宋体"/>
          <w:b/>
          <w:sz w:val="21"/>
        </w:rPr>
        <w:t>M2 线性形态（γ=1）最优</w:t>
      </w:r>
      <w:r>
        <w:rPr>
          <w:rFonts w:ascii="Times New Roman" w:hAnsi="Times New Roman" w:eastAsia="宋体"/>
          <w:b w:val="0"/>
          <w:sz w:val="21"/>
        </w:rPr>
        <w:t>，兼具拟合精度、单调性与参数简洁性。</w:t>
      </w:r>
    </w:p>
    <w:p>
      <w:pPr>
        <w:pStyle w:val="Heading3"/>
      </w:pPr>
      <w:r>
        <w:rPr>
          <w:rFonts w:ascii="Times New Roman" w:hAnsi="Times New Roman" w:eastAsia="黑体"/>
          <w:b/>
          <w:color w:val="000000"/>
          <w:sz w:val="24"/>
        </w:rPr>
        <w:t>4.3 参数估计</w:t>
      </w:r>
    </w:p>
    <w:p>
      <w:pPr>
        <w:spacing w:after="120"/>
        <w:ind w:firstLine="420"/>
      </w:pPr>
      <w:r>
        <w:rPr>
          <w:rFonts w:ascii="Times New Roman" w:hAnsi="Times New Roman" w:eastAsia="宋体"/>
          <w:b/>
          <w:sz w:val="21"/>
        </w:rPr>
        <w:t>第一步（分箱分位数基准）</w:t>
      </w:r>
      <w:r>
        <w:rPr>
          <w:rFonts w:ascii="Times New Roman" w:hAnsi="Times New Roman" w:eastAsia="宋体"/>
          <w:b w:val="0"/>
          <w:sz w:val="21"/>
        </w:rPr>
        <w:t>：按 p 等频分 20 箱（每箱约 558 条），计算箱内 u 的 τ 分位与箱中位赔付；对序列施加 PAVA 保序回归消除分位数的非单调抖动。</w:t>
      </w:r>
    </w:p>
    <w:p>
      <w:pPr>
        <w:spacing w:after="120"/>
        <w:ind w:firstLine="420"/>
      </w:pPr>
      <w:r>
        <w:rPr>
          <w:rFonts w:ascii="Times New Roman" w:hAnsi="Times New Roman" w:eastAsia="宋体"/>
          <w:b/>
          <w:sz w:val="21"/>
        </w:rPr>
        <w:t>第二步（曲线拟合）</w:t>
      </w:r>
      <w:r>
        <w:rPr>
          <w:rFonts w:ascii="Times New Roman" w:hAnsi="Times New Roman" w:eastAsia="宋体"/>
          <w:b w:val="0"/>
          <w:sz w:val="21"/>
        </w:rPr>
        <w:t>：对边界 T 以加权最小二乘拟合线性式 T(p) = α + β·p（权重为箱样本量），约束 α ≥ 0（保证小赔付区不出现负边界）。拟合得：</w:t>
      </w:r>
    </w:p>
    <w:p>
      <w:pPr>
        <w:spacing w:after="120"/>
        <w:ind w:firstLine="420"/>
      </w:pPr>
      <w:r>
        <w:rPr>
          <w:rFonts w:ascii="Times New Roman" w:hAnsi="Times New Roman" w:eastAsia="宋体"/>
          <w:b w:val="0"/>
          <w:sz w:val="21"/>
        </w:rPr>
        <w:t>T₁(p) = 264.87 + 2.482·p，　　T₂(p) = 850.93 + 3.269·p。</w:t>
      </w:r>
    </w:p>
    <w:p>
      <w:pPr>
        <w:spacing w:after="120"/>
        <w:ind w:firstLine="420"/>
      </w:pPr>
      <w:r>
        <w:rPr>
          <w:rFonts w:ascii="Times New Roman" w:hAnsi="Times New Roman" w:eastAsia="宋体"/>
          <w:b/>
          <w:sz w:val="21"/>
        </w:rPr>
        <w:t>第三步（分位水平择优）</w:t>
      </w:r>
      <w:r>
        <w:rPr>
          <w:rFonts w:ascii="Times New Roman" w:hAnsi="Times New Roman" w:eastAsia="宋体"/>
          <w:b w:val="0"/>
          <w:sz w:val="21"/>
        </w:rPr>
        <w:t>：τ₁ 由"合理占比不低于 85%"、τ₂ 由"严重占比小于 3%"反推并留缓冲，在网格 τ₁ ∈ {0.85, 0.86, 0.88, 0.90} × τ₂ ∈ {0.97, 0.98, 0.99}、形态 ∈ {M1, M2(γ=1, 1.2, 1.5, 2)} 共 60 组配置中，按四项准则的词典序择优：</w:t>
      </w:r>
    </w:p>
    <w:p>
      <w:pPr>
        <w:spacing w:after="60"/>
      </w:pPr>
      <w:r>
        <w:rPr>
          <w:rFonts w:ascii="Times New Roman" w:hAnsi="Times New Roman" w:eastAsia="宋体"/>
          <w:b w:val="0"/>
          <w:sz w:val="21"/>
        </w:rPr>
        <w:t>· S1 占比合规（合理 ∈ [85.5%, 90%]，严重 ∈ [1.5%, 3%)——上限对题面留 0.5 个百分点边际，下限 1.5% 保障问题3 少类训练样本充足）；</w:t>
      </w:r>
    </w:p>
    <w:p>
      <w:pPr>
        <w:spacing w:after="60"/>
      </w:pPr>
      <w:r>
        <w:rPr>
          <w:rFonts w:ascii="Times New Roman" w:hAnsi="Times New Roman" w:eastAsia="宋体"/>
          <w:b w:val="0"/>
          <w:sz w:val="21"/>
        </w:rPr>
        <w:t>· S2 单调性（200 点网格扫描零违例，T₂ &gt; T₁ 全域）；</w:t>
      </w:r>
    </w:p>
    <w:p>
      <w:pPr>
        <w:spacing w:after="60"/>
      </w:pPr>
      <w:r>
        <w:rPr>
          <w:rFonts w:ascii="Times New Roman" w:hAnsi="Times New Roman" w:eastAsia="宋体"/>
          <w:b w:val="0"/>
          <w:sz w:val="21"/>
        </w:rPr>
        <w:t>· S3 类内紧凑（赔付十分位内类样本 u 极差 / 邻域全极差，三类均 &lt; 1，实测 0.34~0.43）；</w:t>
      </w:r>
    </w:p>
    <w:p>
      <w:pPr>
        <w:spacing w:after="60"/>
      </w:pPr>
      <w:r>
        <w:rPr>
          <w:rFonts w:ascii="Times New Roman" w:hAnsi="Times New Roman" w:eastAsia="宋体"/>
          <w:b w:val="0"/>
          <w:sz w:val="21"/>
        </w:rPr>
        <w:t>· S4 密度对比（逐箱核密度下合理类样本处密度 / 严重类样本处密度 &gt; 1）。</w:t>
      </w:r>
    </w:p>
    <w:p>
      <w:pPr>
        <w:spacing w:after="120"/>
        <w:ind w:firstLine="420"/>
      </w:pPr>
      <w:r>
        <w:rPr>
          <w:rFonts w:ascii="Times New Roman" w:hAnsi="Times New Roman" w:eastAsia="宋体"/>
          <w:b w:val="0"/>
          <w:sz w:val="21"/>
        </w:rPr>
        <w:t>最终冻结 (τ₁, τ₂)=(0.86, 0.98)、形态 M2（γ=1）。</w:t>
      </w:r>
    </w:p>
    <w:p>
      <w:pPr>
        <w:pStyle w:val="Heading3"/>
      </w:pPr>
      <w:r>
        <w:rPr>
          <w:rFonts w:ascii="Times New Roman" w:hAnsi="Times New Roman" w:eastAsia="黑体"/>
          <w:b/>
          <w:color w:val="000000"/>
          <w:sz w:val="24"/>
        </w:rPr>
        <w:t>4.4 附件1 标注结果与分析</w:t>
      </w:r>
    </w:p>
    <w:p>
      <w:pPr>
        <w:jc w:val="center"/>
      </w:pPr>
      <w:r>
        <w:drawing>
          <wp:inline xmlns:a="http://schemas.openxmlformats.org/drawingml/2006/main" xmlns:pic="http://schemas.openxmlformats.org/drawingml/2006/picture">
            <wp:extent cx="5220000" cy="3770000"/>
            <wp:docPr id="1" name="Picture 1"/>
            <wp:cNvGraphicFramePr>
              <a:graphicFrameLocks noChangeAspect="1"/>
            </wp:cNvGraphicFramePr>
            <a:graphic>
              <a:graphicData uri="http://schemas.openxmlformats.org/drawingml/2006/picture">
                <pic:pic>
                  <pic:nvPicPr>
                    <pic:cNvPr id="0" name="fig1_标注规则二维散点.png"/>
                    <pic:cNvPicPr/>
                  </pic:nvPicPr>
                  <pic:blipFill>
                    <a:blip r:embed="rId9"/>
                    <a:stretch>
                      <a:fillRect/>
                    </a:stretch>
                  </pic:blipFill>
                  <pic:spPr>
                    <a:xfrm>
                      <a:off x="0" y="0"/>
                      <a:ext cx="5220000" cy="3770000"/>
                    </a:xfrm>
                    <a:prstGeom prst="rect"/>
                  </pic:spPr>
                </pic:pic>
              </a:graphicData>
            </a:graphic>
          </wp:inline>
        </w:drawing>
      </w:r>
    </w:p>
    <w:p>
      <w:pPr>
        <w:jc w:val="center"/>
      </w:pPr>
      <w:r>
        <w:rPr>
          <w:rFonts w:ascii="Times New Roman" w:hAnsi="Times New Roman" w:eastAsia="宋体"/>
          <w:b/>
          <w:sz w:val="18"/>
        </w:rPr>
        <w:t>图1  标注规则二维散点</w:t>
      </w:r>
    </w:p>
    <w:p>
      <w:pPr>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fig2_三类差额密度对比.png"/>
                    <pic:cNvPicPr/>
                  </pic:nvPicPr>
                  <pic:blipFill>
                    <a:blip r:embed="rId10"/>
                    <a:stretch>
                      <a:fillRect/>
                    </a:stretch>
                  </pic:blipFill>
                  <pic:spPr>
                    <a:xfrm>
                      <a:off x="0" y="0"/>
                      <a:ext cx="5220000" cy="3480000"/>
                    </a:xfrm>
                    <a:prstGeom prst="rect"/>
                  </pic:spPr>
                </pic:pic>
              </a:graphicData>
            </a:graphic>
          </wp:inline>
        </w:drawing>
      </w:r>
    </w:p>
    <w:p>
      <w:pPr>
        <w:jc w:val="center"/>
      </w:pPr>
      <w:r>
        <w:rPr>
          <w:rFonts w:ascii="Times New Roman" w:hAnsi="Times New Roman" w:eastAsia="宋体"/>
          <w:b/>
          <w:sz w:val="18"/>
        </w:rPr>
        <w:t>图2  三类差额密度对比</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eastAsia="宋体"/>
                <w:b/>
                <w:sz w:val="18"/>
              </w:rPr>
              <w:t>类别</w:t>
            </w:r>
          </w:p>
        </w:tc>
        <w:tc>
          <w:tcPr>
            <w:tcW w:type="dxa" w:w="1234"/>
          </w:tcPr>
          <w:p>
            <w:pPr>
              <w:jc w:val="center"/>
            </w:pPr>
            <w:r/>
            <w:r>
              <w:rPr>
                <w:rFonts w:ascii="Times New Roman" w:hAnsi="Times New Roman" w:eastAsia="宋体"/>
                <w:b/>
                <w:sz w:val="18"/>
              </w:rPr>
              <w:t>样本数</w:t>
            </w:r>
          </w:p>
        </w:tc>
        <w:tc>
          <w:tcPr>
            <w:tcW w:type="dxa" w:w="1234"/>
          </w:tcPr>
          <w:p>
            <w:pPr>
              <w:jc w:val="center"/>
            </w:pPr>
            <w:r/>
            <w:r>
              <w:rPr>
                <w:rFonts w:ascii="Times New Roman" w:hAnsi="Times New Roman" w:eastAsia="宋体"/>
                <w:b/>
                <w:sz w:val="18"/>
              </w:rPr>
              <w:t>占比</w:t>
            </w:r>
          </w:p>
        </w:tc>
        <w:tc>
          <w:tcPr>
            <w:tcW w:type="dxa" w:w="1234"/>
          </w:tcPr>
          <w:p>
            <w:pPr>
              <w:jc w:val="center"/>
            </w:pPr>
            <w:r/>
            <w:r>
              <w:rPr>
                <w:rFonts w:ascii="Times New Roman" w:hAnsi="Times New Roman" w:eastAsia="宋体"/>
                <w:b/>
                <w:sz w:val="18"/>
              </w:rPr>
              <w:t>题面软约束</w:t>
            </w:r>
          </w:p>
        </w:tc>
        <w:tc>
          <w:tcPr>
            <w:tcW w:type="dxa" w:w="1234"/>
          </w:tcPr>
          <w:p>
            <w:pPr>
              <w:jc w:val="center"/>
            </w:pPr>
            <w:r/>
            <w:r>
              <w:rPr>
                <w:rFonts w:ascii="Times New Roman" w:hAnsi="Times New Roman" w:eastAsia="宋体"/>
                <w:b/>
                <w:sz w:val="18"/>
              </w:rPr>
              <w:t>u 中位数</w:t>
            </w:r>
          </w:p>
        </w:tc>
        <w:tc>
          <w:tcPr>
            <w:tcW w:type="dxa" w:w="1234"/>
          </w:tcPr>
          <w:p>
            <w:pPr>
              <w:jc w:val="center"/>
            </w:pPr>
            <w:r/>
            <w:r>
              <w:rPr>
                <w:rFonts w:ascii="Times New Roman" w:hAnsi="Times New Roman" w:eastAsia="宋体"/>
                <w:b/>
                <w:sz w:val="18"/>
              </w:rPr>
              <w:t>u 四分位距</w:t>
            </w:r>
          </w:p>
        </w:tc>
        <w:tc>
          <w:tcPr>
            <w:tcW w:type="dxa" w:w="1234"/>
          </w:tcPr>
          <w:p>
            <w:pPr>
              <w:jc w:val="center"/>
            </w:pPr>
            <w:r/>
            <w:r>
              <w:rPr>
                <w:rFonts w:ascii="Times New Roman" w:hAnsi="Times New Roman" w:eastAsia="宋体"/>
                <w:b/>
                <w:sz w:val="18"/>
              </w:rPr>
              <w:t>p 中位数</w:t>
            </w:r>
          </w:p>
        </w:tc>
      </w:tr>
      <w:tr>
        <w:tc>
          <w:tcPr>
            <w:tcW w:type="dxa" w:w="1234"/>
          </w:tcPr>
          <w:p>
            <w:pPr>
              <w:jc w:val="center"/>
            </w:pPr>
            <w:r/>
            <w:r>
              <w:rPr>
                <w:rFonts w:ascii="Times New Roman" w:hAnsi="Times New Roman" w:eastAsia="宋体"/>
                <w:b w:val="0"/>
                <w:sz w:val="18"/>
              </w:rPr>
              <w:t>合理诉求</w:t>
            </w:r>
          </w:p>
        </w:tc>
        <w:tc>
          <w:tcPr>
            <w:tcW w:type="dxa" w:w="1234"/>
          </w:tcPr>
          <w:p>
            <w:pPr>
              <w:jc w:val="center"/>
            </w:pPr>
            <w:r/>
            <w:r>
              <w:rPr>
                <w:rFonts w:ascii="Times New Roman" w:hAnsi="Times New Roman" w:eastAsia="宋体"/>
                <w:b w:val="0"/>
                <w:sz w:val="18"/>
              </w:rPr>
              <w:t>9,600</w:t>
            </w:r>
          </w:p>
        </w:tc>
        <w:tc>
          <w:tcPr>
            <w:tcW w:type="dxa" w:w="1234"/>
          </w:tcPr>
          <w:p>
            <w:pPr>
              <w:jc w:val="center"/>
            </w:pPr>
            <w:r/>
            <w:r>
              <w:rPr>
                <w:rFonts w:ascii="Times New Roman" w:hAnsi="Times New Roman" w:eastAsia="宋体"/>
                <w:b w:val="0"/>
                <w:sz w:val="18"/>
              </w:rPr>
              <w:t>85.97%</w:t>
            </w:r>
          </w:p>
        </w:tc>
        <w:tc>
          <w:tcPr>
            <w:tcW w:type="dxa" w:w="1234"/>
          </w:tcPr>
          <w:p>
            <w:pPr>
              <w:jc w:val="center"/>
            </w:pPr>
            <w:r/>
            <w:r>
              <w:rPr>
                <w:rFonts w:ascii="Times New Roman" w:hAnsi="Times New Roman" w:eastAsia="宋体"/>
                <w:b w:val="0"/>
                <w:sz w:val="18"/>
              </w:rPr>
              <w:t>≥85% ✓</w:t>
            </w:r>
          </w:p>
        </w:tc>
        <w:tc>
          <w:tcPr>
            <w:tcW w:type="dxa" w:w="1234"/>
          </w:tcPr>
          <w:p>
            <w:pPr>
              <w:jc w:val="center"/>
            </w:pPr>
            <w:r/>
            <w:r>
              <w:rPr>
                <w:rFonts w:ascii="Times New Roman" w:hAnsi="Times New Roman" w:eastAsia="宋体"/>
                <w:b w:val="0"/>
                <w:sz w:val="18"/>
              </w:rPr>
              <w:t>218.20 元</w:t>
            </w:r>
          </w:p>
        </w:tc>
        <w:tc>
          <w:tcPr>
            <w:tcW w:type="dxa" w:w="1234"/>
          </w:tcPr>
          <w:p>
            <w:pPr>
              <w:jc w:val="center"/>
            </w:pPr>
            <w:r/>
            <w:r>
              <w:rPr>
                <w:rFonts w:ascii="Times New Roman" w:hAnsi="Times New Roman" w:eastAsia="宋体"/>
                <w:b w:val="0"/>
                <w:sz w:val="18"/>
              </w:rPr>
              <w:t>96.87~491.52 元</w:t>
            </w:r>
          </w:p>
        </w:tc>
        <w:tc>
          <w:tcPr>
            <w:tcW w:type="dxa" w:w="1234"/>
          </w:tcPr>
          <w:p>
            <w:pPr>
              <w:jc w:val="center"/>
            </w:pPr>
            <w:r/>
            <w:r>
              <w:rPr>
                <w:rFonts w:ascii="Times New Roman" w:hAnsi="Times New Roman" w:eastAsia="宋体"/>
                <w:b w:val="0"/>
                <w:sz w:val="18"/>
              </w:rPr>
              <w:t>203.78 元</w:t>
            </w:r>
          </w:p>
        </w:tc>
      </w:tr>
      <w:tr>
        <w:tc>
          <w:tcPr>
            <w:tcW w:type="dxa" w:w="1234"/>
          </w:tcPr>
          <w:p>
            <w:pPr>
              <w:jc w:val="center"/>
            </w:pPr>
            <w:r/>
            <w:r>
              <w:rPr>
                <w:rFonts w:ascii="Times New Roman" w:hAnsi="Times New Roman" w:eastAsia="宋体"/>
                <w:b w:val="0"/>
                <w:sz w:val="18"/>
              </w:rPr>
              <w:t>诉求偏高</w:t>
            </w:r>
          </w:p>
        </w:tc>
        <w:tc>
          <w:tcPr>
            <w:tcW w:type="dxa" w:w="1234"/>
          </w:tcPr>
          <w:p>
            <w:pPr>
              <w:jc w:val="center"/>
            </w:pPr>
            <w:r/>
            <w:r>
              <w:rPr>
                <w:rFonts w:ascii="Times New Roman" w:hAnsi="Times New Roman" w:eastAsia="宋体"/>
                <w:b w:val="0"/>
                <w:sz w:val="18"/>
              </w:rPr>
              <w:t>1,336</w:t>
            </w:r>
          </w:p>
        </w:tc>
        <w:tc>
          <w:tcPr>
            <w:tcW w:type="dxa" w:w="1234"/>
          </w:tcPr>
          <w:p>
            <w:pPr>
              <w:jc w:val="center"/>
            </w:pPr>
            <w:r/>
            <w:r>
              <w:rPr>
                <w:rFonts w:ascii="Times New Roman" w:hAnsi="Times New Roman" w:eastAsia="宋体"/>
                <w:b w:val="0"/>
                <w:sz w:val="18"/>
              </w:rPr>
              <w:t>11.96%</w:t>
            </w:r>
          </w:p>
        </w:tc>
        <w:tc>
          <w:tcPr>
            <w:tcW w:type="dxa" w:w="1234"/>
          </w:tcPr>
          <w:p>
            <w:pPr>
              <w:jc w:val="center"/>
            </w:pPr>
            <w:r/>
            <w:r>
              <w:rPr>
                <w:rFonts w:ascii="Times New Roman" w:hAnsi="Times New Roman" w:eastAsia="宋体"/>
                <w:b w:val="0"/>
                <w:sz w:val="18"/>
              </w:rPr>
              <w:t>—</w:t>
            </w:r>
          </w:p>
        </w:tc>
        <w:tc>
          <w:tcPr>
            <w:tcW w:type="dxa" w:w="1234"/>
          </w:tcPr>
          <w:p>
            <w:pPr>
              <w:jc w:val="center"/>
            </w:pPr>
            <w:r/>
            <w:r>
              <w:rPr>
                <w:rFonts w:ascii="Times New Roman" w:hAnsi="Times New Roman" w:eastAsia="宋体"/>
                <w:b w:val="0"/>
                <w:sz w:val="18"/>
              </w:rPr>
              <w:t>988.47 元</w:t>
            </w:r>
          </w:p>
        </w:tc>
        <w:tc>
          <w:tcPr>
            <w:tcW w:type="dxa" w:w="1234"/>
          </w:tcPr>
          <w:p>
            <w:pPr>
              <w:jc w:val="center"/>
            </w:pPr>
            <w:r/>
            <w:r>
              <w:rPr>
                <w:rFonts w:ascii="Times New Roman" w:hAnsi="Times New Roman" w:eastAsia="宋体"/>
                <w:b w:val="0"/>
                <w:sz w:val="18"/>
              </w:rPr>
              <w:t>711.74~1811.92 元</w:t>
            </w:r>
          </w:p>
        </w:tc>
        <w:tc>
          <w:tcPr>
            <w:tcW w:type="dxa" w:w="1234"/>
          </w:tcPr>
          <w:p>
            <w:pPr>
              <w:jc w:val="center"/>
            </w:pPr>
            <w:r/>
            <w:r>
              <w:rPr>
                <w:rFonts w:ascii="Times New Roman" w:hAnsi="Times New Roman" w:eastAsia="宋体"/>
                <w:b w:val="0"/>
                <w:sz w:val="18"/>
              </w:rPr>
              <w:t>176.38 元</w:t>
            </w:r>
          </w:p>
        </w:tc>
      </w:tr>
      <w:tr>
        <w:tc>
          <w:tcPr>
            <w:tcW w:type="dxa" w:w="1234"/>
          </w:tcPr>
          <w:p>
            <w:pPr>
              <w:jc w:val="center"/>
            </w:pPr>
            <w:r/>
            <w:r>
              <w:rPr>
                <w:rFonts w:ascii="Times New Roman" w:hAnsi="Times New Roman" w:eastAsia="宋体"/>
                <w:b w:val="0"/>
                <w:sz w:val="18"/>
              </w:rPr>
              <w:t>严重超额</w:t>
            </w:r>
          </w:p>
        </w:tc>
        <w:tc>
          <w:tcPr>
            <w:tcW w:type="dxa" w:w="1234"/>
          </w:tcPr>
          <w:p>
            <w:pPr>
              <w:jc w:val="center"/>
            </w:pPr>
            <w:r/>
            <w:r>
              <w:rPr>
                <w:rFonts w:ascii="Times New Roman" w:hAnsi="Times New Roman" w:eastAsia="宋体"/>
                <w:b w:val="0"/>
                <w:sz w:val="18"/>
              </w:rPr>
              <w:t>231</w:t>
            </w:r>
          </w:p>
        </w:tc>
        <w:tc>
          <w:tcPr>
            <w:tcW w:type="dxa" w:w="1234"/>
          </w:tcPr>
          <w:p>
            <w:pPr>
              <w:jc w:val="center"/>
            </w:pPr>
            <w:r/>
            <w:r>
              <w:rPr>
                <w:rFonts w:ascii="Times New Roman" w:hAnsi="Times New Roman" w:eastAsia="宋体"/>
                <w:b w:val="0"/>
                <w:sz w:val="18"/>
              </w:rPr>
              <w:t>2.07%</w:t>
            </w:r>
          </w:p>
        </w:tc>
        <w:tc>
          <w:tcPr>
            <w:tcW w:type="dxa" w:w="1234"/>
          </w:tcPr>
          <w:p>
            <w:pPr>
              <w:jc w:val="center"/>
            </w:pPr>
            <w:r/>
            <w:r>
              <w:rPr>
                <w:rFonts w:ascii="Times New Roman" w:hAnsi="Times New Roman" w:eastAsia="宋体"/>
                <w:b w:val="0"/>
                <w:sz w:val="18"/>
              </w:rPr>
              <w:t>&lt;3% ✓</w:t>
            </w:r>
          </w:p>
        </w:tc>
        <w:tc>
          <w:tcPr>
            <w:tcW w:type="dxa" w:w="1234"/>
          </w:tcPr>
          <w:p>
            <w:pPr>
              <w:jc w:val="center"/>
            </w:pPr>
            <w:r/>
            <w:r>
              <w:rPr>
                <w:rFonts w:ascii="Times New Roman" w:hAnsi="Times New Roman" w:eastAsia="宋体"/>
                <w:b w:val="0"/>
                <w:sz w:val="18"/>
              </w:rPr>
              <w:t>1,949.74 元</w:t>
            </w:r>
          </w:p>
        </w:tc>
        <w:tc>
          <w:tcPr>
            <w:tcW w:type="dxa" w:w="1234"/>
          </w:tcPr>
          <w:p>
            <w:pPr>
              <w:jc w:val="center"/>
            </w:pPr>
            <w:r/>
            <w:r>
              <w:rPr>
                <w:rFonts w:ascii="Times New Roman" w:hAnsi="Times New Roman" w:eastAsia="宋体"/>
                <w:b w:val="0"/>
                <w:sz w:val="18"/>
              </w:rPr>
              <w:t>1513.40~2446.96 元</w:t>
            </w:r>
          </w:p>
        </w:tc>
        <w:tc>
          <w:tcPr>
            <w:tcW w:type="dxa" w:w="1234"/>
          </w:tcPr>
          <w:p>
            <w:pPr>
              <w:jc w:val="center"/>
            </w:pPr>
            <w:r/>
            <w:r>
              <w:rPr>
                <w:rFonts w:ascii="Times New Roman" w:hAnsi="Times New Roman" w:eastAsia="宋体"/>
                <w:b w:val="0"/>
                <w:sz w:val="18"/>
              </w:rPr>
              <w:t>237.54 元</w:t>
            </w:r>
          </w:p>
        </w:tc>
      </w:tr>
    </w:tbl>
    <w:p>
      <w:pPr>
        <w:spacing w:after="40"/>
      </w:pPr>
    </w:p>
    <w:p>
      <w:pPr>
        <w:spacing w:after="60"/>
      </w:pPr>
      <w:r>
        <w:rPr>
          <w:rFonts w:ascii="Times New Roman" w:hAnsi="Times New Roman" w:eastAsia="宋体"/>
          <w:b w:val="0"/>
          <w:sz w:val="21"/>
        </w:rPr>
        <w:t xml:space="preserve">· </w:t>
      </w:r>
      <w:r>
        <w:rPr>
          <w:rFonts w:ascii="Times New Roman" w:hAnsi="Times New Roman" w:eastAsia="宋体"/>
          <w:b/>
          <w:sz w:val="21"/>
        </w:rPr>
        <w:t>占比合规</w:t>
      </w:r>
      <w:r>
        <w:rPr>
          <w:rFonts w:ascii="Times New Roman" w:hAnsi="Times New Roman" w:eastAsia="宋体"/>
          <w:b w:val="0"/>
          <w:sz w:val="21"/>
        </w:rPr>
        <w:t>：合理诉求 85.97%（高出下限 0.97 个百分点）、严重超额 2.07%（低于上限 0.93 个百分点），双端均留有边际。</w:t>
      </w:r>
    </w:p>
    <w:p>
      <w:pPr>
        <w:spacing w:after="60"/>
      </w:pPr>
      <w:r>
        <w:rPr>
          <w:rFonts w:ascii="Times New Roman" w:hAnsi="Times New Roman" w:eastAsia="宋体"/>
          <w:b w:val="0"/>
          <w:sz w:val="21"/>
        </w:rPr>
        <w:t xml:space="preserve">· </w:t>
      </w:r>
      <w:r>
        <w:rPr>
          <w:rFonts w:ascii="Times New Roman" w:hAnsi="Times New Roman" w:eastAsia="宋体"/>
          <w:b/>
          <w:sz w:val="21"/>
        </w:rPr>
        <w:t>密集程度差别明显</w:t>
      </w:r>
      <w:r>
        <w:rPr>
          <w:rFonts w:ascii="Times New Roman" w:hAnsi="Times New Roman" w:eastAsia="宋体"/>
          <w:b w:val="0"/>
          <w:sz w:val="21"/>
        </w:rPr>
        <w:t xml:space="preserve">：三类 u 中位数呈 1 : 4.5 : 8.9 阶梯；核密度对比显示合理类样本处密度为严重类的 </w:t>
      </w:r>
      <w:r>
        <w:rPr>
          <w:rFonts w:ascii="Times New Roman" w:hAnsi="Times New Roman" w:eastAsia="宋体"/>
          <w:b/>
          <w:sz w:val="21"/>
        </w:rPr>
        <w:t>38.9 倍</w:t>
      </w:r>
      <w:r>
        <w:rPr>
          <w:rFonts w:ascii="Times New Roman" w:hAnsi="Times New Roman" w:eastAsia="宋体"/>
          <w:b w:val="0"/>
          <w:sz w:val="21"/>
        </w:rPr>
        <w:t>、为偏高类的 8.6 倍（图2），"合理密集、严重稀疏"定量达成。</w:t>
      </w:r>
    </w:p>
    <w:p>
      <w:pPr>
        <w:spacing w:after="60"/>
      </w:pPr>
      <w:r>
        <w:rPr>
          <w:rFonts w:ascii="Times New Roman" w:hAnsi="Times New Roman" w:eastAsia="宋体"/>
          <w:b w:val="0"/>
          <w:sz w:val="21"/>
        </w:rPr>
        <w:t xml:space="preserve">· </w:t>
      </w:r>
      <w:r>
        <w:rPr>
          <w:rFonts w:ascii="Times New Roman" w:hAnsi="Times New Roman" w:eastAsia="宋体"/>
          <w:b/>
          <w:sz w:val="21"/>
        </w:rPr>
        <w:t>类内紧凑</w:t>
      </w:r>
      <w:r>
        <w:rPr>
          <w:rFonts w:ascii="Times New Roman" w:hAnsi="Times New Roman" w:eastAsia="宋体"/>
          <w:b w:val="0"/>
          <w:sz w:val="21"/>
        </w:rPr>
        <w:t>：赔付十分位内三类样本 u 极差占邻域全极差比例 0.366 / 0.384 / 0.390，远小于随机指派的 1.0；同类样本落于两单调边界间的连续带内（图1）。</w:t>
      </w:r>
    </w:p>
    <w:p>
      <w:pPr>
        <w:spacing w:after="60"/>
      </w:pPr>
      <w:r>
        <w:rPr>
          <w:rFonts w:ascii="Times New Roman" w:hAnsi="Times New Roman" w:eastAsia="宋体"/>
          <w:b w:val="0"/>
          <w:sz w:val="21"/>
        </w:rPr>
        <w:t xml:space="preserve">· </w:t>
      </w:r>
      <w:r>
        <w:rPr>
          <w:rFonts w:ascii="Times New Roman" w:hAnsi="Times New Roman" w:eastAsia="宋体"/>
          <w:b/>
          <w:sz w:val="21"/>
        </w:rPr>
        <w:t>业务解读</w:t>
      </w:r>
      <w:r>
        <w:rPr>
          <w:rFonts w:ascii="Times New Roman" w:hAnsi="Times New Roman" w:eastAsia="宋体"/>
          <w:b w:val="0"/>
          <w:sz w:val="21"/>
        </w:rPr>
        <w:t>：以赔付 100 元的运单为例，超额 513 元以内判合理、超过 1,178 元判严重超额；赔付 1,000 元的运单容忍度升至 2,747 元 / 4,119 元——高赔付运单索赔基数大、超额的可解释空间更大，与谈赔业务直觉一致。</w:t>
      </w:r>
    </w:p>
    <w:p>
      <w:pPr>
        <w:pStyle w:val="Heading3"/>
      </w:pPr>
      <w:r>
        <w:rPr>
          <w:rFonts w:ascii="Times New Roman" w:hAnsi="Times New Roman" w:eastAsia="黑体"/>
          <w:b/>
          <w:color w:val="000000"/>
          <w:sz w:val="24"/>
        </w:rPr>
        <w:t>4.5 敏感性分析</w:t>
      </w:r>
    </w:p>
    <w:p>
      <w:pPr>
        <w:jc w:val="center"/>
      </w:pPr>
      <w:r>
        <w:drawing>
          <wp:inline xmlns:a="http://schemas.openxmlformats.org/drawingml/2006/main" xmlns:pic="http://schemas.openxmlformats.org/drawingml/2006/picture">
            <wp:extent cx="5220000" cy="2088000"/>
            <wp:docPr id="3" name="Picture 3"/>
            <wp:cNvGraphicFramePr>
              <a:graphicFrameLocks noChangeAspect="1"/>
            </wp:cNvGraphicFramePr>
            <a:graphic>
              <a:graphicData uri="http://schemas.openxmlformats.org/drawingml/2006/picture">
                <pic:pic>
                  <pic:nvPicPr>
                    <pic:cNvPr id="0" name="fig8_规则敏感性热图.png"/>
                    <pic:cNvPicPr/>
                  </pic:nvPicPr>
                  <pic:blipFill>
                    <a:blip r:embed="rId11"/>
                    <a:stretch>
                      <a:fillRect/>
                    </a:stretch>
                  </pic:blipFill>
                  <pic:spPr>
                    <a:xfrm>
                      <a:off x="0" y="0"/>
                      <a:ext cx="5220000" cy="2088000"/>
                    </a:xfrm>
                    <a:prstGeom prst="rect"/>
                  </pic:spPr>
                </pic:pic>
              </a:graphicData>
            </a:graphic>
          </wp:inline>
        </w:drawing>
      </w:r>
    </w:p>
    <w:p>
      <w:pPr>
        <w:jc w:val="center"/>
      </w:pPr>
      <w:r>
        <w:rPr>
          <w:rFonts w:ascii="Times New Roman" w:hAnsi="Times New Roman" w:eastAsia="宋体"/>
          <w:b/>
          <w:sz w:val="18"/>
        </w:rPr>
        <w:t>图8  规则敏感性热图</w:t>
      </w:r>
    </w:p>
    <w:p>
      <w:pPr>
        <w:spacing w:after="120"/>
        <w:ind w:firstLine="420"/>
      </w:pPr>
      <w:r>
        <w:rPr>
          <w:rFonts w:ascii="Times New Roman" w:hAnsi="Times New Roman" w:eastAsia="宋体"/>
          <w:b w:val="0"/>
          <w:sz w:val="21"/>
        </w:rPr>
        <w:t>对 (τ₁, τ₂) 做 12 组扰动（frozen 形态 M2）：合理占比在 85.0%~89.8% 间线性可控，严重占比在 1.13%~2.96% 间单调变化，密度对比保持在 50~115 倍，单调性零违例；以三组代表性配置重训问题3 分类器，宏 F1 波动不超过 0.019（§6.4）。规则性质对参数扰动稳健。</w:t>
      </w:r>
    </w:p>
    <w:p>
      <w:pPr>
        <w:pStyle w:val="Heading2"/>
      </w:pPr>
      <w:r>
        <w:rPr>
          <w:rFonts w:ascii="Times New Roman" w:hAnsi="Times New Roman" w:eastAsia="黑体"/>
          <w:b/>
          <w:color w:val="000000"/>
          <w:sz w:val="28"/>
        </w:rPr>
        <w:t>五、问题2：实际赔付金额预测模型</w:t>
      </w:r>
    </w:p>
    <w:p>
      <w:pPr>
        <w:pStyle w:val="Heading3"/>
      </w:pPr>
      <w:r>
        <w:rPr>
          <w:rFonts w:ascii="Times New Roman" w:hAnsi="Times New Roman" w:eastAsia="黑体"/>
          <w:b/>
          <w:color w:val="000000"/>
          <w:sz w:val="24"/>
        </w:rPr>
        <w:t>5.1 特征工程</w:t>
      </w:r>
    </w:p>
    <w:p>
      <w:pPr>
        <w:spacing w:after="120"/>
        <w:ind w:firstLine="420"/>
      </w:pPr>
      <w:r>
        <w:rPr>
          <w:rFonts w:ascii="Times New Roman" w:hAnsi="Times New Roman" w:eastAsia="宋体"/>
          <w:b w:val="0"/>
          <w:sz w:val="21"/>
        </w:rPr>
        <w:t>基于附表1 的特征体系与数据勘察（详见 A3 数据报告），构建 42 维特征：</w:t>
      </w:r>
    </w:p>
    <w:p>
      <w:pPr>
        <w:spacing w:after="60"/>
      </w:pPr>
      <w:r>
        <w:rPr>
          <w:rFonts w:ascii="Times New Roman" w:hAnsi="Times New Roman" w:eastAsia="宋体"/>
          <w:b w:val="0"/>
          <w:sz w:val="21"/>
        </w:rPr>
        <w:t xml:space="preserve">· </w:t>
      </w:r>
      <w:r>
        <w:rPr>
          <w:rFonts w:ascii="Times New Roman" w:hAnsi="Times New Roman" w:eastAsia="宋体"/>
          <w:b/>
          <w:sz w:val="21"/>
        </w:rPr>
        <w:t>金额类</w:t>
      </w:r>
      <w:r>
        <w:rPr>
          <w:rFonts w:ascii="Times New Roman" w:hAnsi="Times New Roman" w:eastAsia="宋体"/>
          <w:b w:val="0"/>
          <w:sz w:val="21"/>
        </w:rPr>
        <w:t>：索赔金额及其 log1p 变换（主力特征，Spearman 秩相关 0.807）、保价金额（负值 7.7% 为匿名化噪声，置 0 并加指示标记）；</w:t>
      </w:r>
    </w:p>
    <w:p>
      <w:pPr>
        <w:spacing w:after="60"/>
      </w:pPr>
      <w:r>
        <w:rPr>
          <w:rFonts w:ascii="Times New Roman" w:hAnsi="Times New Roman" w:eastAsia="宋体"/>
          <w:b w:val="0"/>
          <w:sz w:val="21"/>
        </w:rPr>
        <w:t xml:space="preserve">· </w:t>
      </w:r>
      <w:r>
        <w:rPr>
          <w:rFonts w:ascii="Times New Roman" w:hAnsi="Times New Roman" w:eastAsia="宋体"/>
          <w:b/>
          <w:sz w:val="21"/>
        </w:rPr>
        <w:t>运输类</w:t>
      </w:r>
      <w:r>
        <w:rPr>
          <w:rFonts w:ascii="Times New Roman" w:hAnsi="Times New Roman" w:eastAsia="宋体"/>
          <w:b w:val="0"/>
          <w:sz w:val="21"/>
        </w:rPr>
        <w:t>：配送超时时长（65.5% 落于 [427000, 428000] 饱和带，加饱和标记）、异常原因（缺失 48.6% 记为"未提报"，6 枚举）；</w:t>
      </w:r>
    </w:p>
    <w:p>
      <w:pPr>
        <w:spacing w:after="60"/>
      </w:pPr>
      <w:r>
        <w:rPr>
          <w:rFonts w:ascii="Times New Roman" w:hAnsi="Times New Roman" w:eastAsia="宋体"/>
          <w:b w:val="0"/>
          <w:sz w:val="21"/>
        </w:rPr>
        <w:t xml:space="preserve">· </w:t>
      </w:r>
      <w:r>
        <w:rPr>
          <w:rFonts w:ascii="Times New Roman" w:hAnsi="Times New Roman" w:eastAsia="宋体"/>
          <w:b/>
          <w:sz w:val="21"/>
        </w:rPr>
        <w:t>客诉类</w:t>
      </w:r>
      <w:r>
        <w:rPr>
          <w:rFonts w:ascii="Times New Roman" w:hAnsi="Times New Roman" w:eastAsia="宋体"/>
          <w:b w:val="0"/>
          <w:sz w:val="21"/>
        </w:rPr>
        <w:t>：进线渠道、妥投到进线时长（25.4% 负值、8.6% 超 10⁸，加符号标记与 log(1+|x|) 变换）、商品类型（16 类）、新旧程度、寄件 B/C、进线人身份；</w:t>
      </w:r>
    </w:p>
    <w:p>
      <w:pPr>
        <w:spacing w:after="60"/>
      </w:pPr>
      <w:r>
        <w:rPr>
          <w:rFonts w:ascii="Times New Roman" w:hAnsi="Times New Roman" w:eastAsia="宋体"/>
          <w:b w:val="0"/>
          <w:sz w:val="21"/>
        </w:rPr>
        <w:t xml:space="preserve">· </w:t>
      </w:r>
      <w:r>
        <w:rPr>
          <w:rFonts w:ascii="Times New Roman" w:hAnsi="Times New Roman" w:eastAsia="宋体"/>
          <w:b/>
          <w:sz w:val="21"/>
        </w:rPr>
        <w:t>网点行为类</w:t>
      </w:r>
      <w:r>
        <w:rPr>
          <w:rFonts w:ascii="Times New Roman" w:hAnsi="Times New Roman" w:eastAsia="宋体"/>
          <w:b w:val="0"/>
          <w:sz w:val="21"/>
        </w:rPr>
        <w:t>：始发/目的网点的发单量、万单理赔率、赔付比例（各加 log1p 变换与负值标记）；</w:t>
      </w:r>
    </w:p>
    <w:p>
      <w:pPr>
        <w:spacing w:after="60"/>
      </w:pPr>
      <w:r>
        <w:rPr>
          <w:rFonts w:ascii="Times New Roman" w:hAnsi="Times New Roman" w:eastAsia="宋体"/>
          <w:b w:val="0"/>
          <w:sz w:val="21"/>
        </w:rPr>
        <w:t xml:space="preserve">· </w:t>
      </w:r>
      <w:r>
        <w:rPr>
          <w:rFonts w:ascii="Times New Roman" w:hAnsi="Times New Roman" w:eastAsia="宋体"/>
          <w:b/>
          <w:sz w:val="21"/>
        </w:rPr>
        <w:t>高频 ID</w:t>
      </w:r>
      <w:r>
        <w:rPr>
          <w:rFonts w:ascii="Times New Roman" w:hAnsi="Times New Roman" w:eastAsia="宋体"/>
          <w:b w:val="0"/>
          <w:sz w:val="21"/>
        </w:rPr>
        <w:t>：始发/目的城市、寄件人、收件人、城市对的联合频次编码（不含标签信息，无泄漏；可自然处理附件2 中 2 个新目的城市、132 个新寄件人、177 个新收件人）。</w:t>
      </w:r>
    </w:p>
    <w:p>
      <w:pPr>
        <w:pStyle w:val="Heading3"/>
      </w:pPr>
      <w:r>
        <w:rPr>
          <w:rFonts w:ascii="Times New Roman" w:hAnsi="Times New Roman" w:eastAsia="黑体"/>
          <w:b/>
          <w:color w:val="000000"/>
          <w:sz w:val="24"/>
        </w:rPr>
        <w:t>5.2 模型与评估指标</w:t>
      </w:r>
    </w:p>
    <w:p>
      <w:pPr>
        <w:spacing w:after="120"/>
        <w:ind w:firstLine="420"/>
      </w:pPr>
      <w:r>
        <w:rPr>
          <w:rFonts w:ascii="Times New Roman" w:hAnsi="Times New Roman" w:eastAsia="宋体"/>
          <w:b/>
          <w:sz w:val="21"/>
        </w:rPr>
        <w:t>评估指标定义</w:t>
      </w:r>
      <w:r>
        <w:rPr>
          <w:rFonts w:ascii="Times New Roman" w:hAnsi="Times New Roman" w:eastAsia="宋体"/>
          <w:b w:val="0"/>
          <w:sz w:val="21"/>
        </w:rPr>
        <w:t xml:space="preserve">：主指标 </w:t>
      </w:r>
      <w:r>
        <w:rPr>
          <w:rFonts w:ascii="Times New Roman" w:hAnsi="Times New Roman" w:eastAsia="宋体"/>
          <w:b/>
          <w:sz w:val="21"/>
        </w:rPr>
        <w:t>MAE</w:t>
      </w:r>
      <w:r>
        <w:rPr>
          <w:rFonts w:ascii="Times New Roman" w:hAnsi="Times New Roman" w:eastAsia="宋体"/>
          <w:b w:val="0"/>
          <w:sz w:val="21"/>
        </w:rPr>
        <w:t xml:space="preserve"> = (1/n)·Σ|pᵢ − p̂ᵢ|（与金额同量纲、业务含义为"平均每单偏差"）；辅指标 </w:t>
      </w:r>
      <w:r>
        <w:rPr>
          <w:rFonts w:ascii="Times New Roman" w:hAnsi="Times New Roman" w:eastAsia="宋体"/>
          <w:b/>
          <w:sz w:val="21"/>
        </w:rPr>
        <w:t>RMSE</w:t>
      </w:r>
      <w:r>
        <w:rPr>
          <w:rFonts w:ascii="Times New Roman" w:hAnsi="Times New Roman" w:eastAsia="宋体"/>
          <w:b w:val="0"/>
          <w:sz w:val="21"/>
        </w:rPr>
        <w:t>（惩罚大误差）、</w:t>
      </w:r>
      <w:r>
        <w:rPr>
          <w:rFonts w:ascii="Times New Roman" w:hAnsi="Times New Roman" w:eastAsia="宋体"/>
          <w:b/>
          <w:sz w:val="21"/>
        </w:rPr>
        <w:t>WAPE</w:t>
      </w:r>
      <w:r>
        <w:rPr>
          <w:rFonts w:ascii="Times New Roman" w:hAnsi="Times New Roman" w:eastAsia="宋体"/>
          <w:b w:val="0"/>
          <w:sz w:val="21"/>
        </w:rPr>
        <w:t xml:space="preserve"> = Σ|pᵢ − p̂ᵢ| / Σpᵢ（跨金额段可比）、</w:t>
      </w:r>
      <w:r>
        <w:rPr>
          <w:rFonts w:ascii="Times New Roman" w:hAnsi="Times New Roman" w:eastAsia="宋体"/>
          <w:b/>
          <w:sz w:val="21"/>
        </w:rPr>
        <w:t>MAPE</w:t>
      </w:r>
      <w:r>
        <w:rPr>
          <w:rFonts w:ascii="Times New Roman" w:hAnsi="Times New Roman" w:eastAsia="宋体"/>
          <w:b w:val="0"/>
          <w:sz w:val="21"/>
        </w:rPr>
        <w:t>（剔除 p&lt;1 元后报告，小分母失真需注意）。评估协议：5 折 KFold（shuffle，seed=2025）+ 80/20 留出复验。</w:t>
      </w:r>
    </w:p>
    <w:p>
      <w:pPr>
        <w:spacing w:after="120"/>
        <w:ind w:firstLine="420"/>
      </w:pPr>
      <w:r>
        <w:rPr>
          <w:rFonts w:ascii="Times New Roman" w:hAnsi="Times New Roman" w:eastAsia="宋体"/>
          <w:b/>
          <w:sz w:val="21"/>
        </w:rPr>
        <w:t>模型选型</w:t>
      </w:r>
      <w:r>
        <w:rPr>
          <w:rFonts w:ascii="Times New Roman" w:hAnsi="Times New Roman" w:eastAsia="宋体"/>
          <w:b w:val="0"/>
          <w:sz w:val="21"/>
        </w:rPr>
        <w:t>：朴素中位数基线 B0、对数线性基线 B1、LightGBM 三种目标（L2、L1、对 log1p 的 L2）× 学习率 × 叶数 × 叶最小样本数共 20 组配置。超参按第 1 折预筛取前 3 名做完整 5 折评估：</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18"/>
              </w:rPr>
              <w:t>模型</w:t>
            </w:r>
          </w:p>
        </w:tc>
        <w:tc>
          <w:tcPr>
            <w:tcW w:type="dxa" w:w="2160"/>
          </w:tcPr>
          <w:p>
            <w:pPr>
              <w:jc w:val="center"/>
            </w:pPr>
            <w:r/>
            <w:r>
              <w:rPr>
                <w:rFonts w:ascii="Times New Roman" w:hAnsi="Times New Roman" w:eastAsia="宋体"/>
                <w:b/>
                <w:sz w:val="18"/>
              </w:rPr>
              <w:t>MAE（元）</w:t>
            </w:r>
          </w:p>
        </w:tc>
        <w:tc>
          <w:tcPr>
            <w:tcW w:type="dxa" w:w="2160"/>
          </w:tcPr>
          <w:p>
            <w:pPr>
              <w:jc w:val="center"/>
            </w:pPr>
            <w:r/>
            <w:r>
              <w:rPr>
                <w:rFonts w:ascii="Times New Roman" w:hAnsi="Times New Roman" w:eastAsia="宋体"/>
                <w:b/>
                <w:sz w:val="18"/>
              </w:rPr>
              <w:t>RMSE（元）</w:t>
            </w:r>
          </w:p>
        </w:tc>
        <w:tc>
          <w:tcPr>
            <w:tcW w:type="dxa" w:w="2160"/>
          </w:tcPr>
          <w:p>
            <w:pPr>
              <w:jc w:val="center"/>
            </w:pPr>
            <w:r/>
            <w:r>
              <w:rPr>
                <w:rFonts w:ascii="Times New Roman" w:hAnsi="Times New Roman" w:eastAsia="宋体"/>
                <w:b/>
                <w:sz w:val="18"/>
              </w:rPr>
              <w:t>WAPE</w:t>
            </w:r>
          </w:p>
        </w:tc>
      </w:tr>
      <w:tr>
        <w:tc>
          <w:tcPr>
            <w:tcW w:type="dxa" w:w="2160"/>
          </w:tcPr>
          <w:p>
            <w:pPr>
              <w:jc w:val="center"/>
            </w:pPr>
            <w:r/>
            <w:r>
              <w:rPr>
                <w:rFonts w:ascii="Times New Roman" w:hAnsi="Times New Roman" w:eastAsia="宋体"/>
                <w:b w:val="0"/>
                <w:sz w:val="18"/>
              </w:rPr>
              <w:t>B0 中位数基线</w:t>
            </w:r>
          </w:p>
        </w:tc>
        <w:tc>
          <w:tcPr>
            <w:tcW w:type="dxa" w:w="2160"/>
          </w:tcPr>
          <w:p>
            <w:pPr>
              <w:jc w:val="center"/>
            </w:pPr>
            <w:r/>
            <w:r>
              <w:rPr>
                <w:rFonts w:ascii="Times New Roman" w:hAnsi="Times New Roman" w:eastAsia="宋体"/>
                <w:b w:val="0"/>
                <w:sz w:val="18"/>
              </w:rPr>
              <w:t>199.02</w:t>
            </w:r>
          </w:p>
        </w:tc>
        <w:tc>
          <w:tcPr>
            <w:tcW w:type="dxa" w:w="2160"/>
          </w:tcPr>
          <w:p>
            <w:pPr>
              <w:jc w:val="center"/>
            </w:pPr>
            <w:r/>
            <w:r>
              <w:rPr>
                <w:rFonts w:ascii="Times New Roman" w:hAnsi="Times New Roman" w:eastAsia="宋体"/>
                <w:b w:val="0"/>
                <w:sz w:val="18"/>
              </w:rPr>
              <w:t>296.43</w:t>
            </w:r>
          </w:p>
        </w:tc>
        <w:tc>
          <w:tcPr>
            <w:tcW w:type="dxa" w:w="2160"/>
          </w:tcPr>
          <w:p>
            <w:pPr>
              <w:jc w:val="center"/>
            </w:pPr>
            <w:r/>
            <w:r>
              <w:rPr>
                <w:rFonts w:ascii="Times New Roman" w:hAnsi="Times New Roman" w:eastAsia="宋体"/>
                <w:b w:val="0"/>
                <w:sz w:val="18"/>
              </w:rPr>
              <w:t>68.10%</w:t>
            </w:r>
          </w:p>
        </w:tc>
      </w:tr>
      <w:tr>
        <w:tc>
          <w:tcPr>
            <w:tcW w:type="dxa" w:w="2160"/>
          </w:tcPr>
          <w:p>
            <w:pPr>
              <w:jc w:val="center"/>
            </w:pPr>
            <w:r/>
            <w:r>
              <w:rPr>
                <w:rFonts w:ascii="Times New Roman" w:hAnsi="Times New Roman" w:eastAsia="宋体"/>
                <w:b w:val="0"/>
                <w:sz w:val="18"/>
              </w:rPr>
              <w:t>B1 对数线性（仅索赔金额）</w:t>
            </w:r>
          </w:p>
        </w:tc>
        <w:tc>
          <w:tcPr>
            <w:tcW w:type="dxa" w:w="2160"/>
          </w:tcPr>
          <w:p>
            <w:pPr>
              <w:jc w:val="center"/>
            </w:pPr>
            <w:r/>
            <w:r>
              <w:rPr>
                <w:rFonts w:ascii="Times New Roman" w:hAnsi="Times New Roman" w:eastAsia="宋体"/>
                <w:b w:val="0"/>
                <w:sz w:val="18"/>
              </w:rPr>
              <w:t>292.21</w:t>
            </w:r>
          </w:p>
        </w:tc>
        <w:tc>
          <w:tcPr>
            <w:tcW w:type="dxa" w:w="2160"/>
          </w:tcPr>
          <w:p>
            <w:pPr>
              <w:jc w:val="center"/>
            </w:pPr>
            <w:r/>
            <w:r>
              <w:rPr>
                <w:rFonts w:ascii="Times New Roman" w:hAnsi="Times New Roman" w:eastAsia="宋体"/>
                <w:b w:val="0"/>
                <w:sz w:val="18"/>
              </w:rPr>
              <w:t>405.94</w:t>
            </w:r>
          </w:p>
        </w:tc>
        <w:tc>
          <w:tcPr>
            <w:tcW w:type="dxa" w:w="2160"/>
          </w:tcPr>
          <w:p>
            <w:pPr>
              <w:jc w:val="center"/>
            </w:pPr>
            <w:r/>
            <w:r>
              <w:rPr>
                <w:rFonts w:ascii="Times New Roman" w:hAnsi="Times New Roman" w:eastAsia="宋体"/>
                <w:b w:val="0"/>
                <w:sz w:val="18"/>
              </w:rPr>
              <w:t>99.99%</w:t>
            </w:r>
          </w:p>
        </w:tc>
      </w:tr>
      <w:tr>
        <w:tc>
          <w:tcPr>
            <w:tcW w:type="dxa" w:w="2160"/>
          </w:tcPr>
          <w:p>
            <w:pPr>
              <w:jc w:val="center"/>
            </w:pPr>
            <w:r/>
            <w:r>
              <w:rPr>
                <w:rFonts w:ascii="Times New Roman" w:hAnsi="Times New Roman" w:eastAsia="宋体"/>
                <w:b w:val="0"/>
                <w:sz w:val="18"/>
              </w:rPr>
              <w:t>LGBM-L2 (lr=0.05, leaves=31, mcs=50)</w:t>
            </w:r>
          </w:p>
        </w:tc>
        <w:tc>
          <w:tcPr>
            <w:tcW w:type="dxa" w:w="2160"/>
          </w:tcPr>
          <w:p>
            <w:pPr>
              <w:jc w:val="center"/>
            </w:pPr>
            <w:r/>
            <w:r>
              <w:rPr>
                <w:rFonts w:ascii="Times New Roman" w:hAnsi="Times New Roman" w:eastAsia="宋体"/>
                <w:b w:val="0"/>
                <w:sz w:val="18"/>
              </w:rPr>
              <w:t>96.94±1.90</w:t>
            </w:r>
          </w:p>
        </w:tc>
        <w:tc>
          <w:tcPr>
            <w:tcW w:type="dxa" w:w="2160"/>
          </w:tcPr>
          <w:p>
            <w:pPr>
              <w:jc w:val="center"/>
            </w:pPr>
            <w:r/>
            <w:r>
              <w:rPr>
                <w:rFonts w:ascii="Times New Roman" w:hAnsi="Times New Roman" w:eastAsia="宋体"/>
                <w:b w:val="0"/>
                <w:sz w:val="18"/>
              </w:rPr>
              <w:t>139.56</w:t>
            </w:r>
          </w:p>
        </w:tc>
        <w:tc>
          <w:tcPr>
            <w:tcW w:type="dxa" w:w="2160"/>
          </w:tcPr>
          <w:p>
            <w:pPr>
              <w:jc w:val="center"/>
            </w:pPr>
            <w:r/>
            <w:r>
              <w:rPr>
                <w:rFonts w:ascii="Times New Roman" w:hAnsi="Times New Roman" w:eastAsia="宋体"/>
                <w:b w:val="0"/>
                <w:sz w:val="18"/>
              </w:rPr>
              <w:t>33.17%</w:t>
            </w:r>
          </w:p>
        </w:tc>
      </w:tr>
      <w:tr>
        <w:tc>
          <w:tcPr>
            <w:tcW w:type="dxa" w:w="2160"/>
          </w:tcPr>
          <w:p>
            <w:pPr>
              <w:jc w:val="center"/>
            </w:pPr>
            <w:r/>
            <w:r>
              <w:rPr>
                <w:rFonts w:ascii="Times New Roman" w:hAnsi="Times New Roman" w:eastAsia="宋体"/>
                <w:b w:val="0"/>
                <w:sz w:val="18"/>
              </w:rPr>
              <w:t>LGBM-L2 (lr=0.10, leaves=31, mcs=20)</w:t>
            </w:r>
          </w:p>
        </w:tc>
        <w:tc>
          <w:tcPr>
            <w:tcW w:type="dxa" w:w="2160"/>
          </w:tcPr>
          <w:p>
            <w:pPr>
              <w:jc w:val="center"/>
            </w:pPr>
            <w:r/>
            <w:r>
              <w:rPr>
                <w:rFonts w:ascii="Times New Roman" w:hAnsi="Times New Roman" w:eastAsia="宋体"/>
                <w:b w:val="0"/>
                <w:sz w:val="18"/>
              </w:rPr>
              <w:t>97.20±1.80</w:t>
            </w:r>
          </w:p>
        </w:tc>
        <w:tc>
          <w:tcPr>
            <w:tcW w:type="dxa" w:w="2160"/>
          </w:tcPr>
          <w:p>
            <w:pPr>
              <w:jc w:val="center"/>
            </w:pPr>
            <w:r/>
            <w:r>
              <w:rPr>
                <w:rFonts w:ascii="Times New Roman" w:hAnsi="Times New Roman" w:eastAsia="宋体"/>
                <w:b w:val="0"/>
                <w:sz w:val="18"/>
              </w:rPr>
              <w:t>139.24</w:t>
            </w:r>
          </w:p>
        </w:tc>
        <w:tc>
          <w:tcPr>
            <w:tcW w:type="dxa" w:w="2160"/>
          </w:tcPr>
          <w:p>
            <w:pPr>
              <w:jc w:val="center"/>
            </w:pPr>
            <w:r/>
            <w:r>
              <w:rPr>
                <w:rFonts w:ascii="Times New Roman" w:hAnsi="Times New Roman" w:eastAsia="宋体"/>
                <w:b w:val="0"/>
                <w:sz w:val="18"/>
              </w:rPr>
              <w:t>33.26%</w:t>
            </w:r>
          </w:p>
        </w:tc>
      </w:tr>
      <w:tr>
        <w:tc>
          <w:tcPr>
            <w:tcW w:type="dxa" w:w="2160"/>
          </w:tcPr>
          <w:p>
            <w:pPr>
              <w:jc w:val="center"/>
            </w:pPr>
            <w:r/>
            <w:r>
              <w:rPr>
                <w:rFonts w:ascii="Times New Roman" w:hAnsi="Times New Roman" w:eastAsia="宋体"/>
                <w:b w:val="0"/>
                <w:sz w:val="18"/>
              </w:rPr>
              <w:t>LGBM-L1 (lr=0.05, leaves=31, mcs=20)（选中）</w:t>
            </w:r>
          </w:p>
        </w:tc>
        <w:tc>
          <w:tcPr>
            <w:tcW w:type="dxa" w:w="2160"/>
          </w:tcPr>
          <w:p>
            <w:pPr>
              <w:jc w:val="center"/>
            </w:pPr>
            <w:r/>
            <w:r>
              <w:rPr>
                <w:rFonts w:ascii="Times New Roman" w:hAnsi="Times New Roman" w:eastAsia="宋体"/>
                <w:b w:val="0"/>
                <w:sz w:val="18"/>
              </w:rPr>
              <w:t>95.60±2.64</w:t>
            </w:r>
          </w:p>
        </w:tc>
        <w:tc>
          <w:tcPr>
            <w:tcW w:type="dxa" w:w="2160"/>
          </w:tcPr>
          <w:p>
            <w:pPr>
              <w:jc w:val="center"/>
            </w:pPr>
            <w:r/>
            <w:r>
              <w:rPr>
                <w:rFonts w:ascii="Times New Roman" w:hAnsi="Times New Roman" w:eastAsia="宋体"/>
                <w:b w:val="0"/>
                <w:sz w:val="18"/>
              </w:rPr>
              <w:t>142.55</w:t>
            </w:r>
          </w:p>
        </w:tc>
        <w:tc>
          <w:tcPr>
            <w:tcW w:type="dxa" w:w="2160"/>
          </w:tcPr>
          <w:p>
            <w:pPr>
              <w:jc w:val="center"/>
            </w:pPr>
            <w:r/>
            <w:r>
              <w:rPr>
                <w:rFonts w:ascii="Times New Roman" w:hAnsi="Times New Roman" w:eastAsia="宋体"/>
                <w:b w:val="0"/>
                <w:sz w:val="18"/>
              </w:rPr>
              <w:t>32.71%</w:t>
            </w:r>
          </w:p>
        </w:tc>
      </w:tr>
    </w:tbl>
    <w:p>
      <w:pPr>
        <w:spacing w:after="40"/>
      </w:pPr>
    </w:p>
    <w:p>
      <w:pPr>
        <w:spacing w:after="120"/>
        <w:ind w:firstLine="420"/>
      </w:pPr>
      <w:r>
        <w:rPr>
          <w:rFonts w:ascii="Times New Roman" w:hAnsi="Times New Roman" w:eastAsia="宋体"/>
          <w:b w:val="0"/>
          <w:sz w:val="21"/>
        </w:rPr>
        <w:t>选中模型与主指标 MAE 一致（L1 目标直接优化绝对误差），80/20 留出复验 MAE = 100.09 元（与 CV 差 4.5%，泛化稳定）。</w:t>
      </w:r>
    </w:p>
    <w:p>
      <w:pPr>
        <w:pStyle w:val="Heading3"/>
      </w:pPr>
      <w:r>
        <w:rPr>
          <w:rFonts w:ascii="Times New Roman" w:hAnsi="Times New Roman" w:eastAsia="黑体"/>
          <w:b/>
          <w:color w:val="000000"/>
          <w:sz w:val="24"/>
        </w:rPr>
        <w:t>5.3 结果分析</w:t>
      </w:r>
    </w:p>
    <w:p>
      <w:pPr>
        <w:jc w:val="center"/>
      </w:pPr>
      <w:r>
        <w:drawing>
          <wp:inline xmlns:a="http://schemas.openxmlformats.org/drawingml/2006/main" xmlns:pic="http://schemas.openxmlformats.org/drawingml/2006/picture">
            <wp:extent cx="5220000" cy="3480000"/>
            <wp:docPr id="4" name="Picture 4"/>
            <wp:cNvGraphicFramePr>
              <a:graphicFrameLocks noChangeAspect="1"/>
            </wp:cNvGraphicFramePr>
            <a:graphic>
              <a:graphicData uri="http://schemas.openxmlformats.org/drawingml/2006/picture">
                <pic:pic>
                  <pic:nvPicPr>
                    <pic:cNvPr id="0" name="fig3_赔付金额分布对比.png"/>
                    <pic:cNvPicPr/>
                  </pic:nvPicPr>
                  <pic:blipFill>
                    <a:blip r:embed="rId12"/>
                    <a:stretch>
                      <a:fillRect/>
                    </a:stretch>
                  </pic:blipFill>
                  <pic:spPr>
                    <a:xfrm>
                      <a:off x="0" y="0"/>
                      <a:ext cx="5220000" cy="3480000"/>
                    </a:xfrm>
                    <a:prstGeom prst="rect"/>
                  </pic:spPr>
                </pic:pic>
              </a:graphicData>
            </a:graphic>
          </wp:inline>
        </w:drawing>
      </w:r>
    </w:p>
    <w:p>
      <w:pPr>
        <w:jc w:val="center"/>
      </w:pPr>
      <w:r>
        <w:rPr>
          <w:rFonts w:ascii="Times New Roman" w:hAnsi="Times New Roman" w:eastAsia="宋体"/>
          <w:b/>
          <w:sz w:val="18"/>
        </w:rPr>
        <w:t>图3  赔付金额分布对比</w:t>
      </w:r>
    </w:p>
    <w:p>
      <w:pPr>
        <w:jc w:val="center"/>
      </w:pPr>
      <w:r>
        <w:drawing>
          <wp:inline xmlns:a="http://schemas.openxmlformats.org/drawingml/2006/main" xmlns:pic="http://schemas.openxmlformats.org/drawingml/2006/picture">
            <wp:extent cx="5220000" cy="2178783"/>
            <wp:docPr id="5" name="Picture 5"/>
            <wp:cNvGraphicFramePr>
              <a:graphicFrameLocks noChangeAspect="1"/>
            </wp:cNvGraphicFramePr>
            <a:graphic>
              <a:graphicData uri="http://schemas.openxmlformats.org/drawingml/2006/picture">
                <pic:pic>
                  <pic:nvPicPr>
                    <pic:cNvPr id="0" name="fig4_回归误差分析.png"/>
                    <pic:cNvPicPr/>
                  </pic:nvPicPr>
                  <pic:blipFill>
                    <a:blip r:embed="rId13"/>
                    <a:stretch>
                      <a:fillRect/>
                    </a:stretch>
                  </pic:blipFill>
                  <pic:spPr>
                    <a:xfrm>
                      <a:off x="0" y="0"/>
                      <a:ext cx="5220000" cy="2178783"/>
                    </a:xfrm>
                    <a:prstGeom prst="rect"/>
                  </pic:spPr>
                </pic:pic>
              </a:graphicData>
            </a:graphic>
          </wp:inline>
        </w:drawing>
      </w:r>
    </w:p>
    <w:p>
      <w:pPr>
        <w:jc w:val="center"/>
      </w:pPr>
      <w:r>
        <w:rPr>
          <w:rFonts w:ascii="Times New Roman" w:hAnsi="Times New Roman" w:eastAsia="宋体"/>
          <w:b/>
          <w:sz w:val="18"/>
        </w:rPr>
        <w:t>图4  回归误差分析</w:t>
      </w:r>
    </w:p>
    <w:p>
      <w:pPr>
        <w:jc w:val="center"/>
      </w:pPr>
      <w:r>
        <w:drawing>
          <wp:inline xmlns:a="http://schemas.openxmlformats.org/drawingml/2006/main" xmlns:pic="http://schemas.openxmlformats.org/drawingml/2006/picture">
            <wp:extent cx="5220000" cy="3022105"/>
            <wp:docPr id="6" name="Picture 6"/>
            <wp:cNvGraphicFramePr>
              <a:graphicFrameLocks noChangeAspect="1"/>
            </wp:cNvGraphicFramePr>
            <a:graphic>
              <a:graphicData uri="http://schemas.openxmlformats.org/drawingml/2006/picture">
                <pic:pic>
                  <pic:nvPicPr>
                    <pic:cNvPr id="0" name="fig7_特征消融.png"/>
                    <pic:cNvPicPr/>
                  </pic:nvPicPr>
                  <pic:blipFill>
                    <a:blip r:embed="rId14"/>
                    <a:stretch>
                      <a:fillRect/>
                    </a:stretch>
                  </pic:blipFill>
                  <pic:spPr>
                    <a:xfrm>
                      <a:off x="0" y="0"/>
                      <a:ext cx="5220000" cy="3022105"/>
                    </a:xfrm>
                    <a:prstGeom prst="rect"/>
                  </pic:spPr>
                </pic:pic>
              </a:graphicData>
            </a:graphic>
          </wp:inline>
        </w:drawing>
      </w:r>
    </w:p>
    <w:p>
      <w:pPr>
        <w:jc w:val="center"/>
      </w:pPr>
      <w:r>
        <w:rPr>
          <w:rFonts w:ascii="Times New Roman" w:hAnsi="Times New Roman" w:eastAsia="宋体"/>
          <w:b/>
          <w:sz w:val="18"/>
        </w:rPr>
        <w:t>图7  特征消融</w:t>
      </w:r>
    </w:p>
    <w:p>
      <w:pPr>
        <w:spacing w:after="60"/>
      </w:pPr>
      <w:r>
        <w:rPr>
          <w:rFonts w:ascii="Times New Roman" w:hAnsi="Times New Roman" w:eastAsia="宋体"/>
          <w:b w:val="0"/>
          <w:sz w:val="21"/>
        </w:rPr>
        <w:t xml:space="preserve">· </w:t>
      </w:r>
      <w:r>
        <w:rPr>
          <w:rFonts w:ascii="Times New Roman" w:hAnsi="Times New Roman" w:eastAsia="宋体"/>
          <w:b/>
          <w:sz w:val="21"/>
        </w:rPr>
        <w:t>误差结构</w:t>
      </w:r>
      <w:r>
        <w:rPr>
          <w:rFonts w:ascii="Times New Roman" w:hAnsi="Times New Roman" w:eastAsia="宋体"/>
          <w:b w:val="0"/>
          <w:sz w:val="21"/>
        </w:rPr>
        <w:t>：留出集预测偏差中位数 −4 元，但按赔付五分位分解呈"低赔高估（+30/+11 元）、高赔低估（−61/−174 元）"的收缩形态（图4b）——特征外赔付差异主要由不可观测的谈赔过程决定，L1 回归向条件中位收缩。</w:t>
      </w:r>
    </w:p>
    <w:p>
      <w:pPr>
        <w:spacing w:after="60"/>
      </w:pPr>
      <w:r>
        <w:rPr>
          <w:rFonts w:ascii="Times New Roman" w:hAnsi="Times New Roman" w:eastAsia="宋体"/>
          <w:b w:val="0"/>
          <w:sz w:val="21"/>
        </w:rPr>
        <w:t xml:space="preserve">· </w:t>
      </w:r>
      <w:r>
        <w:rPr>
          <w:rFonts w:ascii="Times New Roman" w:hAnsi="Times New Roman" w:eastAsia="宋体"/>
          <w:b/>
          <w:sz w:val="21"/>
        </w:rPr>
        <w:t>特征消融</w:t>
      </w:r>
      <w:r>
        <w:rPr>
          <w:rFonts w:ascii="Times New Roman" w:hAnsi="Times New Roman" w:eastAsia="宋体"/>
          <w:b w:val="0"/>
          <w:sz w:val="21"/>
        </w:rPr>
        <w:t>（图7）：仅用索赔金额两个特征 MAE = 119.35 元；全量 95.81 元；去掉索赔金额特征升至 183.94 元（近乎回到基线）；网点行为与频次编码特征在本数据上无增量贡献。</w:t>
      </w:r>
      <w:r>
        <w:rPr>
          <w:rFonts w:ascii="Times New Roman" w:hAnsi="Times New Roman" w:eastAsia="宋体"/>
          <w:b/>
          <w:sz w:val="21"/>
        </w:rPr>
        <w:t>结论</w:t>
      </w:r>
      <w:r>
        <w:rPr>
          <w:rFonts w:ascii="Times New Roman" w:hAnsi="Times New Roman" w:eastAsia="宋体"/>
          <w:b w:val="0"/>
          <w:sz w:val="21"/>
        </w:rPr>
        <w:t>：索赔金额是决定性信号，其余特征合计贡献约 24 元改善。</w:t>
      </w:r>
    </w:p>
    <w:p>
      <w:pPr>
        <w:spacing w:after="60"/>
      </w:pPr>
      <w:r>
        <w:rPr>
          <w:rFonts w:ascii="Times New Roman" w:hAnsi="Times New Roman" w:eastAsia="宋体"/>
          <w:b w:val="0"/>
          <w:sz w:val="21"/>
        </w:rPr>
        <w:t xml:space="preserve">· </w:t>
      </w:r>
      <w:r>
        <w:rPr>
          <w:rFonts w:ascii="Times New Roman" w:hAnsi="Times New Roman" w:eastAsia="宋体"/>
          <w:b/>
          <w:sz w:val="21"/>
        </w:rPr>
        <w:t>可预测性边界</w:t>
      </w:r>
      <w:r>
        <w:rPr>
          <w:rFonts w:ascii="Times New Roman" w:hAnsi="Times New Roman" w:eastAsia="宋体"/>
          <w:b w:val="0"/>
          <w:sz w:val="21"/>
        </w:rPr>
        <w:t>：超额索赔额 u 的四分位距约 580 元，附件特征只能解释有限部分；MAE≈96 元（赔付中位数的 48%）接近该特征集的实用边界。这一边界直接决定路线B 的性能上限（§6.3）。</w:t>
      </w:r>
    </w:p>
    <w:p>
      <w:pPr>
        <w:spacing w:after="60"/>
      </w:pPr>
      <w:r>
        <w:rPr>
          <w:rFonts w:ascii="Times New Roman" w:hAnsi="Times New Roman" w:eastAsia="宋体"/>
          <w:b w:val="0"/>
          <w:sz w:val="21"/>
        </w:rPr>
        <w:t xml:space="preserve">· </w:t>
      </w:r>
      <w:r>
        <w:rPr>
          <w:rFonts w:ascii="Times New Roman" w:hAnsi="Times New Roman" w:eastAsia="宋体"/>
          <w:b/>
          <w:sz w:val="21"/>
        </w:rPr>
        <w:t>附件2 推断</w:t>
      </w:r>
      <w:r>
        <w:rPr>
          <w:rFonts w:ascii="Times New Roman" w:hAnsi="Times New Roman" w:eastAsia="宋体"/>
          <w:b w:val="0"/>
          <w:sz w:val="21"/>
        </w:rPr>
        <w:t>：预测赔付中位数 209.00 元、均值 267.61 元、最大 1,335.98 元，全部落于训练目标范围内，无外推；预测值超过索赔金额的比例为 0%。</w:t>
      </w:r>
    </w:p>
    <w:p>
      <w:pPr>
        <w:pStyle w:val="Heading2"/>
      </w:pPr>
      <w:r>
        <w:rPr>
          <w:rFonts w:ascii="Times New Roman" w:hAnsi="Times New Roman" w:eastAsia="黑体"/>
          <w:b/>
          <w:color w:val="000000"/>
          <w:sz w:val="28"/>
        </w:rPr>
        <w:t>六、问题3：风险标注分类模型与两路线对比</w:t>
      </w:r>
    </w:p>
    <w:p>
      <w:pPr>
        <w:pStyle w:val="Heading3"/>
      </w:pPr>
      <w:r>
        <w:rPr>
          <w:rFonts w:ascii="Times New Roman" w:hAnsi="Times New Roman" w:eastAsia="黑体"/>
          <w:b/>
          <w:color w:val="000000"/>
          <w:sz w:val="24"/>
        </w:rPr>
        <w:t>6.1 标签管道与模型</w:t>
      </w:r>
    </w:p>
    <w:p>
      <w:pPr>
        <w:spacing w:after="120"/>
        <w:ind w:firstLine="420"/>
      </w:pPr>
      <w:r>
        <w:rPr>
          <w:rFonts w:ascii="Times New Roman" w:hAnsi="Times New Roman" w:eastAsia="宋体"/>
          <w:b w:val="0"/>
          <w:sz w:val="21"/>
        </w:rPr>
        <w:t>以问题1 冻结规则对附件1 生成训练标签（9,600 / 1,336 / 231），特征同 §5.1，模型为 LightGBM 多分类（3 类，学习率 0.05、叶数 31、300 棵），StratifiedKFold 5 折（seed=2025），路线A/B 共用同一折索引保证可比。</w:t>
      </w:r>
    </w:p>
    <w:p>
      <w:pPr>
        <w:pStyle w:val="Heading3"/>
      </w:pPr>
      <w:r>
        <w:rPr>
          <w:rFonts w:ascii="Times New Roman" w:hAnsi="Times New Roman" w:eastAsia="黑体"/>
          <w:b/>
          <w:color w:val="000000"/>
          <w:sz w:val="24"/>
        </w:rPr>
        <w:t>6.2 "严重超额"严重不均衡的处理方法（重点）</w:t>
      </w:r>
    </w:p>
    <w:p>
      <w:pPr>
        <w:jc w:val="center"/>
      </w:pPr>
      <w:r>
        <w:drawing>
          <wp:inline xmlns:a="http://schemas.openxmlformats.org/drawingml/2006/main" xmlns:pic="http://schemas.openxmlformats.org/drawingml/2006/picture">
            <wp:extent cx="5220000" cy="2637474"/>
            <wp:docPr id="7" name="Picture 7"/>
            <wp:cNvGraphicFramePr>
              <a:graphicFrameLocks noChangeAspect="1"/>
            </wp:cNvGraphicFramePr>
            <a:graphic>
              <a:graphicData uri="http://schemas.openxmlformats.org/drawingml/2006/picture">
                <pic:pic>
                  <pic:nvPicPr>
                    <pic:cNvPr id="0" name="fig6_不均衡方案对比.png"/>
                    <pic:cNvPicPr/>
                  </pic:nvPicPr>
                  <pic:blipFill>
                    <a:blip r:embed="rId15"/>
                    <a:stretch>
                      <a:fillRect/>
                    </a:stretch>
                  </pic:blipFill>
                  <pic:spPr>
                    <a:xfrm>
                      <a:off x="0" y="0"/>
                      <a:ext cx="5220000" cy="2637474"/>
                    </a:xfrm>
                    <a:prstGeom prst="rect"/>
                  </pic:spPr>
                </pic:pic>
              </a:graphicData>
            </a:graphic>
          </wp:inline>
        </w:drawing>
      </w:r>
    </w:p>
    <w:p>
      <w:pPr>
        <w:jc w:val="center"/>
      </w:pPr>
      <w:r>
        <w:rPr>
          <w:rFonts w:ascii="Times New Roman" w:hAnsi="Times New Roman" w:eastAsia="宋体"/>
          <w:b/>
          <w:sz w:val="18"/>
        </w:rPr>
        <w:t>图6  不均衡方案对比</w:t>
      </w:r>
    </w:p>
    <w:p>
      <w:pPr>
        <w:spacing w:after="120"/>
        <w:ind w:firstLine="420"/>
      </w:pPr>
      <w:r>
        <w:rPr>
          <w:rFonts w:ascii="Times New Roman" w:hAnsi="Times New Roman" w:eastAsia="宋体"/>
          <w:b w:val="0"/>
          <w:sz w:val="21"/>
        </w:rPr>
        <w:t>按题面软约束生成的标签中，严重超额仅占 2.07%（231 个样本），与合理诉求之比约 1:42，属严重类不均衡：不加处理的分类器倾向把全部样本判为合理诉求（宏 F1 仅 0.309，严重类召回为 0）。我们从机制、实验两个层面对三种通用处理方法做了系统比较：</w:t>
      </w:r>
    </w:p>
    <w:p>
      <w:pPr>
        <w:spacing w:after="120"/>
        <w:ind w:firstLine="420"/>
      </w:pPr>
      <w:r>
        <w:rPr>
          <w:rFonts w:ascii="Times New Roman" w:hAnsi="Times New Roman" w:eastAsia="宋体"/>
          <w:b/>
          <w:sz w:val="21"/>
        </w:rPr>
        <w:t>(1) 类权重加权（cost-sensitive）</w:t>
      </w:r>
      <w:r>
        <w:rPr>
          <w:rFonts w:ascii="Times New Roman" w:hAnsi="Times New Roman" w:eastAsia="宋体"/>
          <w:b w:val="0"/>
          <w:sz w:val="21"/>
        </w:rPr>
        <w:t>：按反频率 n/(3·nₖ) 加大少类损失权重。机制：改变经验风险最小化的类间权衡，不改变训练数据分布。实测宏 F1 = 0.6200±0.0092，严重类召回 0.204。</w:t>
      </w:r>
    </w:p>
    <w:p>
      <w:pPr>
        <w:spacing w:after="120"/>
        <w:ind w:firstLine="420"/>
      </w:pPr>
      <w:r>
        <w:rPr>
          <w:rFonts w:ascii="Times New Roman" w:hAnsi="Times New Roman" w:eastAsia="宋体"/>
          <w:b/>
          <w:sz w:val="21"/>
        </w:rPr>
        <w:t>(2) 训练折内随机过采样（resampling）</w:t>
      </w:r>
      <w:r>
        <w:rPr>
          <w:rFonts w:ascii="Times New Roman" w:hAnsi="Times New Roman" w:eastAsia="宋体"/>
          <w:b w:val="0"/>
          <w:sz w:val="21"/>
        </w:rPr>
        <w:t>：对偏高、严重类在</w:t>
      </w:r>
      <w:r>
        <w:rPr>
          <w:rFonts w:ascii="Times New Roman" w:hAnsi="Times New Roman" w:eastAsia="宋体"/>
          <w:b/>
          <w:sz w:val="21"/>
        </w:rPr>
        <w:t>训练折内</w:t>
      </w:r>
      <w:r>
        <w:rPr>
          <w:rFonts w:ascii="Times New Roman" w:hAnsi="Times New Roman" w:eastAsia="宋体"/>
          <w:b w:val="0"/>
          <w:sz w:val="21"/>
        </w:rPr>
        <w:t>有放回复制至多数类的指定比例（验证折保持原始分布，杜绝信息泄漏）。机制：显式增加少类梯度更新的采样概率。比较四种配比（偏高 0.5/1.0 × 严重 0.3/0.5）：</w:t>
      </w:r>
      <w:r>
        <w:rPr>
          <w:rFonts w:ascii="Times New Roman" w:hAnsi="Times New Roman" w:eastAsia="宋体"/>
          <w:b/>
          <w:sz w:val="21"/>
        </w:rPr>
        <w:t>配比 (0.5, 0.5) 最优，宏 F1 = 0.6350±0.0118</w:t>
      </w:r>
      <w:r>
        <w:rPr>
          <w:rFonts w:ascii="Times New Roman" w:hAnsi="Times New Roman" w:eastAsia="宋体"/>
          <w:b w:val="0"/>
          <w:sz w:val="21"/>
        </w:rPr>
        <w:t>，严重类召回 0.230、精确率 0.366、F1 = 0.282；完全均衡配比 (1.0, ·) 反而下降（宏 F1 0.605~0.611）——过度的重采样使少类样本被高倍复制、易过拟合复制噪声。</w:t>
      </w:r>
    </w:p>
    <w:p>
      <w:pPr>
        <w:spacing w:after="120"/>
        <w:ind w:firstLine="420"/>
      </w:pPr>
      <w:r>
        <w:rPr>
          <w:rFonts w:ascii="Times New Roman" w:hAnsi="Times New Roman" w:eastAsia="宋体"/>
          <w:b/>
          <w:sz w:val="21"/>
        </w:rPr>
        <w:t>(3) 先验校正阈值移动（threshold/prior correction）</w:t>
      </w:r>
      <w:r>
        <w:rPr>
          <w:rFonts w:ascii="Times New Roman" w:hAnsi="Times New Roman" w:eastAsia="宋体"/>
          <w:b w:val="0"/>
          <w:sz w:val="21"/>
        </w:rPr>
        <w:t>：以标准概率输出 qₖ 对训练先验 πₖ 做校正 q̃ₖ ∝ qₖ / πₖʷ（w ∈ {0.25, 0.5, 1.0}）后再取最大。机制：事后调整判决边界，不重训。实测宏 F1 = 0.6038~0.6203；w = 1.0 时严重类召回升至 0.316 但精确率降至 0.280、总体精度受损，呈典型的召回-精确权衡。</w:t>
      </w:r>
    </w:p>
    <w:p>
      <w:pPr>
        <w:spacing w:after="120"/>
        <w:ind w:firstLine="420"/>
      </w:pPr>
      <w:r>
        <w:rPr>
          <w:rFonts w:ascii="Times New Roman" w:hAnsi="Times New Roman" w:eastAsia="宋体"/>
          <w:b/>
          <w:sz w:val="21"/>
        </w:rPr>
        <w:t>方法学结论</w:t>
      </w:r>
      <w:r>
        <w:rPr>
          <w:rFonts w:ascii="Times New Roman" w:hAnsi="Times New Roman" w:eastAsia="宋体"/>
          <w:b w:val="0"/>
          <w:sz w:val="21"/>
        </w:rPr>
        <w:t>：(i) 三类方法均显著优于不处理（宏 F1 0.309）；(ii) 过采样 (0.5, 0.5) 在宏 F1 与严重类 F1 上均最优且方差小，选为最终方案；(iii) 过采样强度存在最优点——均衡化不足则少类欠拟合，过度则复制噪声过拟合；(iv) 全部处理只在训练折内进行，评估分布保持自然比例，指标无偏。</w:t>
      </w:r>
    </w:p>
    <w:p>
      <w:pPr>
        <w:pStyle w:val="Heading3"/>
      </w:pPr>
      <w:r>
        <w:rPr>
          <w:rFonts w:ascii="Times New Roman" w:hAnsi="Times New Roman" w:eastAsia="黑体"/>
          <w:b/>
          <w:color w:val="000000"/>
          <w:sz w:val="24"/>
        </w:rPr>
        <w:t>6.3 两条路线的对比论述（直接分类 vs 回归+规则）</w:t>
      </w:r>
    </w:p>
    <w:p>
      <w:pPr>
        <w:jc w:val="center"/>
      </w:pPr>
      <w:r>
        <w:drawing>
          <wp:inline xmlns:a="http://schemas.openxmlformats.org/drawingml/2006/main" xmlns:pic="http://schemas.openxmlformats.org/drawingml/2006/picture">
            <wp:extent cx="5220000" cy="2088000"/>
            <wp:docPr id="8" name="Picture 8"/>
            <wp:cNvGraphicFramePr>
              <a:graphicFrameLocks noChangeAspect="1"/>
            </wp:cNvGraphicFramePr>
            <a:graphic>
              <a:graphicData uri="http://schemas.openxmlformats.org/drawingml/2006/picture">
                <pic:pic>
                  <pic:nvPicPr>
                    <pic:cNvPr id="0" name="fig5_两路线混淆矩阵.png"/>
                    <pic:cNvPicPr/>
                  </pic:nvPicPr>
                  <pic:blipFill>
                    <a:blip r:embed="rId16"/>
                    <a:stretch>
                      <a:fillRect/>
                    </a:stretch>
                  </pic:blipFill>
                  <pic:spPr>
                    <a:xfrm>
                      <a:off x="0" y="0"/>
                      <a:ext cx="5220000" cy="2088000"/>
                    </a:xfrm>
                    <a:prstGeom prst="rect"/>
                  </pic:spPr>
                </pic:pic>
              </a:graphicData>
            </a:graphic>
          </wp:inline>
        </w:drawing>
      </w:r>
    </w:p>
    <w:p>
      <w:pPr>
        <w:jc w:val="center"/>
      </w:pPr>
      <w:r>
        <w:rPr>
          <w:rFonts w:ascii="Times New Roman" w:hAnsi="Times New Roman" w:eastAsia="宋体"/>
          <w:b/>
          <w:sz w:val="18"/>
        </w:rPr>
        <w:t>图5  两路线混淆矩阵</w:t>
      </w:r>
    </w:p>
    <w:p>
      <w:pPr>
        <w:spacing w:after="120"/>
        <w:ind w:firstLine="420"/>
      </w:pPr>
      <w:r>
        <w:rPr>
          <w:rFonts w:ascii="Times New Roman" w:hAnsi="Times New Roman" w:eastAsia="宋体"/>
          <w:b/>
          <w:sz w:val="21"/>
        </w:rPr>
        <w:t>路线B 实现</w:t>
      </w:r>
      <w:r>
        <w:rPr>
          <w:rFonts w:ascii="Times New Roman" w:hAnsi="Times New Roman" w:eastAsia="宋体"/>
          <w:b w:val="0"/>
          <w:sz w:val="21"/>
        </w:rPr>
        <w:t>：在每个训练折上以问题2 最优配置（LGBM-L1）回归实际赔付金额，得预测赔付 p̂；计算 û = c − p̂（截断于 0）；代入问题1 冻结规则判类。</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宋体"/>
                <w:b/>
                <w:sz w:val="18"/>
              </w:rPr>
              <w:t>路线</w:t>
            </w:r>
          </w:p>
        </w:tc>
        <w:tc>
          <w:tcPr>
            <w:tcW w:type="dxa" w:w="1440"/>
          </w:tcPr>
          <w:p>
            <w:pPr>
              <w:jc w:val="center"/>
            </w:pPr>
            <w:r/>
            <w:r>
              <w:rPr>
                <w:rFonts w:ascii="Times New Roman" w:hAnsi="Times New Roman" w:eastAsia="宋体"/>
                <w:b/>
                <w:sz w:val="18"/>
              </w:rPr>
              <w:t>宏 F1</w:t>
            </w:r>
          </w:p>
        </w:tc>
        <w:tc>
          <w:tcPr>
            <w:tcW w:type="dxa" w:w="1440"/>
          </w:tcPr>
          <w:p>
            <w:pPr>
              <w:jc w:val="center"/>
            </w:pPr>
            <w:r/>
            <w:r>
              <w:rPr>
                <w:rFonts w:ascii="Times New Roman" w:hAnsi="Times New Roman" w:eastAsia="宋体"/>
                <w:b/>
                <w:sz w:val="18"/>
              </w:rPr>
              <w:t>acc</w:t>
            </w:r>
          </w:p>
        </w:tc>
        <w:tc>
          <w:tcPr>
            <w:tcW w:type="dxa" w:w="1440"/>
          </w:tcPr>
          <w:p>
            <w:pPr>
              <w:jc w:val="center"/>
            </w:pPr>
            <w:r/>
            <w:r>
              <w:rPr>
                <w:rFonts w:ascii="Times New Roman" w:hAnsi="Times New Roman" w:eastAsia="宋体"/>
                <w:b/>
                <w:sz w:val="18"/>
              </w:rPr>
              <w:t>严重类召回</w:t>
            </w:r>
          </w:p>
        </w:tc>
        <w:tc>
          <w:tcPr>
            <w:tcW w:type="dxa" w:w="1440"/>
          </w:tcPr>
          <w:p>
            <w:pPr>
              <w:jc w:val="center"/>
            </w:pPr>
            <w:r/>
            <w:r>
              <w:rPr>
                <w:rFonts w:ascii="Times New Roman" w:hAnsi="Times New Roman" w:eastAsia="宋体"/>
                <w:b/>
                <w:sz w:val="18"/>
              </w:rPr>
              <w:t>严重类精确</w:t>
            </w:r>
          </w:p>
        </w:tc>
        <w:tc>
          <w:tcPr>
            <w:tcW w:type="dxa" w:w="1440"/>
          </w:tcPr>
          <w:p>
            <w:pPr>
              <w:jc w:val="center"/>
            </w:pPr>
            <w:r/>
            <w:r>
              <w:rPr>
                <w:rFonts w:ascii="Times New Roman" w:hAnsi="Times New Roman" w:eastAsia="宋体"/>
                <w:b/>
                <w:sz w:val="18"/>
              </w:rPr>
              <w:t>严重类 F1</w:t>
            </w:r>
          </w:p>
        </w:tc>
      </w:tr>
      <w:tr>
        <w:tc>
          <w:tcPr>
            <w:tcW w:type="dxa" w:w="1440"/>
          </w:tcPr>
          <w:p>
            <w:pPr>
              <w:jc w:val="center"/>
            </w:pPr>
            <w:r/>
            <w:r>
              <w:rPr>
                <w:rFonts w:ascii="Times New Roman" w:hAnsi="Times New Roman" w:eastAsia="宋体"/>
                <w:b w:val="0"/>
                <w:sz w:val="18"/>
              </w:rPr>
              <w:t>路线A 直接分类（过采样 0.5/0.5）</w:t>
            </w:r>
          </w:p>
        </w:tc>
        <w:tc>
          <w:tcPr>
            <w:tcW w:type="dxa" w:w="1440"/>
          </w:tcPr>
          <w:p>
            <w:pPr>
              <w:jc w:val="center"/>
            </w:pPr>
            <w:r/>
            <w:r>
              <w:rPr>
                <w:rFonts w:ascii="Times New Roman" w:hAnsi="Times New Roman" w:eastAsia="宋体"/>
                <w:b w:val="0"/>
                <w:sz w:val="18"/>
              </w:rPr>
              <w:t>0.6350</w:t>
            </w:r>
          </w:p>
        </w:tc>
        <w:tc>
          <w:tcPr>
            <w:tcW w:type="dxa" w:w="1440"/>
          </w:tcPr>
          <w:p>
            <w:pPr>
              <w:jc w:val="center"/>
            </w:pPr>
            <w:r/>
            <w:r>
              <w:rPr>
                <w:rFonts w:ascii="Times New Roman" w:hAnsi="Times New Roman" w:eastAsia="宋体"/>
                <w:b w:val="0"/>
                <w:sz w:val="18"/>
              </w:rPr>
              <w:t>0.9255</w:t>
            </w:r>
          </w:p>
        </w:tc>
        <w:tc>
          <w:tcPr>
            <w:tcW w:type="dxa" w:w="1440"/>
          </w:tcPr>
          <w:p>
            <w:pPr>
              <w:jc w:val="center"/>
            </w:pPr>
            <w:r/>
            <w:r>
              <w:rPr>
                <w:rFonts w:ascii="Times New Roman" w:hAnsi="Times New Roman" w:eastAsia="宋体"/>
                <w:b w:val="0"/>
                <w:sz w:val="18"/>
              </w:rPr>
              <w:t>0.230</w:t>
            </w:r>
          </w:p>
        </w:tc>
        <w:tc>
          <w:tcPr>
            <w:tcW w:type="dxa" w:w="1440"/>
          </w:tcPr>
          <w:p>
            <w:pPr>
              <w:jc w:val="center"/>
            </w:pPr>
            <w:r/>
            <w:r>
              <w:rPr>
                <w:rFonts w:ascii="Times New Roman" w:hAnsi="Times New Roman" w:eastAsia="宋体"/>
                <w:b w:val="0"/>
                <w:sz w:val="18"/>
              </w:rPr>
              <w:t>0.366</w:t>
            </w:r>
          </w:p>
        </w:tc>
        <w:tc>
          <w:tcPr>
            <w:tcW w:type="dxa" w:w="1440"/>
          </w:tcPr>
          <w:p>
            <w:pPr>
              <w:jc w:val="center"/>
            </w:pPr>
            <w:r/>
            <w:r>
              <w:rPr>
                <w:rFonts w:ascii="Times New Roman" w:hAnsi="Times New Roman" w:eastAsia="宋体"/>
                <w:b w:val="0"/>
                <w:sz w:val="18"/>
              </w:rPr>
              <w:t>0.282</w:t>
            </w:r>
          </w:p>
        </w:tc>
      </w:tr>
      <w:tr>
        <w:tc>
          <w:tcPr>
            <w:tcW w:type="dxa" w:w="1440"/>
          </w:tcPr>
          <w:p>
            <w:pPr>
              <w:jc w:val="center"/>
            </w:pPr>
            <w:r/>
            <w:r>
              <w:rPr>
                <w:rFonts w:ascii="Times New Roman" w:hAnsi="Times New Roman" w:eastAsia="宋体"/>
                <w:b w:val="0"/>
                <w:sz w:val="18"/>
              </w:rPr>
              <w:t>路线B 回归+规则</w:t>
            </w:r>
          </w:p>
        </w:tc>
        <w:tc>
          <w:tcPr>
            <w:tcW w:type="dxa" w:w="1440"/>
          </w:tcPr>
          <w:p>
            <w:pPr>
              <w:jc w:val="center"/>
            </w:pPr>
            <w:r/>
            <w:r>
              <w:rPr>
                <w:rFonts w:ascii="Times New Roman" w:hAnsi="Times New Roman" w:eastAsia="宋体"/>
                <w:b w:val="0"/>
                <w:sz w:val="18"/>
              </w:rPr>
              <w:t>0.5586</w:t>
            </w:r>
          </w:p>
        </w:tc>
        <w:tc>
          <w:tcPr>
            <w:tcW w:type="dxa" w:w="1440"/>
          </w:tcPr>
          <w:p>
            <w:pPr>
              <w:jc w:val="center"/>
            </w:pPr>
            <w:r/>
            <w:r>
              <w:rPr>
                <w:rFonts w:ascii="Times New Roman" w:hAnsi="Times New Roman" w:eastAsia="宋体"/>
                <w:b w:val="0"/>
                <w:sz w:val="18"/>
              </w:rPr>
              <w:t>0.9273</w:t>
            </w:r>
          </w:p>
        </w:tc>
        <w:tc>
          <w:tcPr>
            <w:tcW w:type="dxa" w:w="1440"/>
          </w:tcPr>
          <w:p>
            <w:pPr>
              <w:jc w:val="center"/>
            </w:pPr>
            <w:r/>
            <w:r>
              <w:rPr>
                <w:rFonts w:ascii="Times New Roman" w:hAnsi="Times New Roman" w:eastAsia="宋体"/>
                <w:b w:val="0"/>
                <w:sz w:val="18"/>
              </w:rPr>
              <w:t>0.022</w:t>
            </w:r>
          </w:p>
        </w:tc>
        <w:tc>
          <w:tcPr>
            <w:tcW w:type="dxa" w:w="1440"/>
          </w:tcPr>
          <w:p>
            <w:pPr>
              <w:jc w:val="center"/>
            </w:pPr>
            <w:r/>
            <w:r>
              <w:rPr>
                <w:rFonts w:ascii="Times New Roman" w:hAnsi="Times New Roman" w:eastAsia="宋体"/>
                <w:b w:val="0"/>
                <w:sz w:val="18"/>
              </w:rPr>
              <w:t>0.333</w:t>
            </w:r>
          </w:p>
        </w:tc>
        <w:tc>
          <w:tcPr>
            <w:tcW w:type="dxa" w:w="1440"/>
          </w:tcPr>
          <w:p>
            <w:pPr>
              <w:jc w:val="center"/>
            </w:pPr>
            <w:r/>
            <w:r>
              <w:rPr>
                <w:rFonts w:ascii="Times New Roman" w:hAnsi="Times New Roman" w:eastAsia="宋体"/>
                <w:b w:val="0"/>
                <w:sz w:val="18"/>
              </w:rPr>
              <w:t>0.041</w:t>
            </w:r>
          </w:p>
        </w:tc>
      </w:tr>
      <w:tr>
        <w:tc>
          <w:tcPr>
            <w:tcW w:type="dxa" w:w="1440"/>
          </w:tcPr>
          <w:p>
            <w:pPr>
              <w:jc w:val="center"/>
            </w:pPr>
            <w:r/>
            <w:r>
              <w:rPr>
                <w:rFonts w:ascii="Times New Roman" w:hAnsi="Times New Roman" w:eastAsia="宋体"/>
                <w:b w:val="0"/>
                <w:sz w:val="18"/>
              </w:rPr>
              <w:t>（多数类基线）</w:t>
            </w:r>
          </w:p>
        </w:tc>
        <w:tc>
          <w:tcPr>
            <w:tcW w:type="dxa" w:w="1440"/>
          </w:tcPr>
          <w:p>
            <w:pPr>
              <w:jc w:val="center"/>
            </w:pPr>
            <w:r/>
            <w:r>
              <w:rPr>
                <w:rFonts w:ascii="Times New Roman" w:hAnsi="Times New Roman" w:eastAsia="宋体"/>
                <w:b w:val="0"/>
                <w:sz w:val="18"/>
              </w:rPr>
              <w:t>0.309</w:t>
            </w:r>
          </w:p>
        </w:tc>
        <w:tc>
          <w:tcPr>
            <w:tcW w:type="dxa" w:w="1440"/>
          </w:tcPr>
          <w:p>
            <w:pPr>
              <w:jc w:val="center"/>
            </w:pPr>
            <w:r/>
            <w:r>
              <w:rPr>
                <w:rFonts w:ascii="Times New Roman" w:hAnsi="Times New Roman" w:eastAsia="宋体"/>
                <w:b w:val="0"/>
                <w:sz w:val="18"/>
              </w:rPr>
              <w:t>0.860</w:t>
            </w:r>
          </w:p>
        </w:tc>
        <w:tc>
          <w:tcPr>
            <w:tcW w:type="dxa" w:w="1440"/>
          </w:tcPr>
          <w:p>
            <w:pPr>
              <w:jc w:val="center"/>
            </w:pPr>
            <w:r/>
            <w:r>
              <w:rPr>
                <w:rFonts w:ascii="Times New Roman" w:hAnsi="Times New Roman" w:eastAsia="宋体"/>
                <w:b w:val="0"/>
                <w:sz w:val="18"/>
              </w:rPr>
              <w:t>0</w:t>
            </w:r>
          </w:p>
        </w:tc>
        <w:tc>
          <w:tcPr>
            <w:tcW w:type="dxa" w:w="1440"/>
          </w:tcPr>
          <w:p>
            <w:pPr>
              <w:jc w:val="center"/>
            </w:pPr>
            <w:r/>
            <w:r>
              <w:rPr>
                <w:rFonts w:ascii="Times New Roman" w:hAnsi="Times New Roman" w:eastAsia="宋体"/>
                <w:b w:val="0"/>
                <w:sz w:val="18"/>
              </w:rPr>
              <w:t>—</w:t>
            </w:r>
          </w:p>
        </w:tc>
        <w:tc>
          <w:tcPr>
            <w:tcW w:type="dxa" w:w="1440"/>
          </w:tcPr>
          <w:p>
            <w:pPr>
              <w:jc w:val="center"/>
            </w:pPr>
            <w:r/>
            <w:r>
              <w:rPr>
                <w:rFonts w:ascii="Times New Roman" w:hAnsi="Times New Roman" w:eastAsia="宋体"/>
                <w:b w:val="0"/>
                <w:sz w:val="18"/>
              </w:rPr>
              <w:t>0</w:t>
            </w:r>
          </w:p>
        </w:tc>
      </w:tr>
    </w:tbl>
    <w:p>
      <w:pPr>
        <w:spacing w:after="40"/>
      </w:pPr>
    </w:p>
    <w:p>
      <w:pPr>
        <w:spacing w:after="120"/>
        <w:ind w:firstLine="420"/>
      </w:pPr>
      <w:r>
        <w:rPr>
          <w:rFonts w:ascii="Times New Roman" w:hAnsi="Times New Roman" w:eastAsia="宋体"/>
          <w:b w:val="0"/>
          <w:sz w:val="21"/>
        </w:rPr>
        <w:t>混淆矩阵（图5）显示机制差异：路线B 能以 99.5% 的比例正确保留合理诉求，但对严重超额的检出仅 2.2%（5/231），74.0% 的严重样本被漏为偏高、3.0% 被漏为合理——</w:t>
      </w:r>
      <w:r>
        <w:rPr>
          <w:rFonts w:ascii="Times New Roman" w:hAnsi="Times New Roman" w:eastAsia="宋体"/>
          <w:b/>
          <w:sz w:val="21"/>
        </w:rPr>
        <w:t>回归误差在高阈值处被非线性放大为单向漏检</w:t>
      </w:r>
      <w:r>
        <w:rPr>
          <w:rFonts w:ascii="Times New Roman" w:hAnsi="Times New Roman" w:eastAsia="宋体"/>
          <w:b w:val="0"/>
          <w:sz w:val="21"/>
        </w:rPr>
        <w:t>：严重类要求 û &gt; T₂(p̂) ≈ 851 + 3.27·p̂（阈值本身随预测赔付抬升），而 MAE≈96 元、RMSE≈153 元的回归噪声很难把 û 推过这一高门槛；路线A 经不均衡处理直接优化类边界，严重类召回是其 10 倍。路线B 的 acc（0.9273）略高于路线A 纯属多数类效应，在不均衡场景下宏 F1 才是恰当标准。</w:t>
      </w:r>
    </w:p>
    <w:p>
      <w:pPr>
        <w:spacing w:after="120"/>
        <w:ind w:firstLine="420"/>
      </w:pPr>
      <w:r>
        <w:rPr>
          <w:rFonts w:ascii="Times New Roman" w:hAnsi="Times New Roman" w:eastAsia="宋体"/>
          <w:b/>
          <w:sz w:val="21"/>
        </w:rPr>
        <w:t>优势与劣势总结</w:t>
      </w:r>
      <w:r>
        <w:rPr>
          <w:rFonts w:ascii="Times New Roman" w:hAnsi="Times New Roman" w:eastAsia="宋体"/>
          <w:b w:val="0"/>
          <w:sz w:val="21"/>
        </w:rPr>
        <w:t>：</w:t>
      </w:r>
    </w:p>
    <w:p>
      <w:pPr>
        <w:spacing w:after="60"/>
      </w:pPr>
      <w:r>
        <w:rPr>
          <w:rFonts w:ascii="Times New Roman" w:hAnsi="Times New Roman" w:eastAsia="宋体"/>
          <w:b w:val="0"/>
          <w:sz w:val="21"/>
        </w:rPr>
        <w:t xml:space="preserve">· </w:t>
      </w:r>
      <w:r>
        <w:rPr>
          <w:rFonts w:ascii="Times New Roman" w:hAnsi="Times New Roman" w:eastAsia="宋体"/>
          <w:b/>
          <w:sz w:val="21"/>
        </w:rPr>
        <w:t>路线A（直接分类）</w:t>
      </w:r>
      <w:r>
        <w:rPr>
          <w:rFonts w:ascii="Times New Roman" w:hAnsi="Times New Roman" w:eastAsia="宋体"/>
          <w:b w:val="0"/>
          <w:sz w:val="21"/>
        </w:rPr>
        <w:t>——优势：直接以类判别为目标，可通过不均衡处理显式控制少类召回；不受回归精度传导约束；可输出概率支撑业务分级。劣势：标签由规则构造而特征不含 (p, u)，学习的是"哪些特征预示高风险"的间接关联，天花板受标签构造性噪声限制；规则参数改动需重训。</w:t>
      </w:r>
    </w:p>
    <w:p>
      <w:pPr>
        <w:spacing w:after="60"/>
      </w:pPr>
      <w:r>
        <w:rPr>
          <w:rFonts w:ascii="Times New Roman" w:hAnsi="Times New Roman" w:eastAsia="宋体"/>
          <w:b w:val="0"/>
          <w:sz w:val="21"/>
        </w:rPr>
        <w:t xml:space="preserve">· </w:t>
      </w:r>
      <w:r>
        <w:rPr>
          <w:rFonts w:ascii="Times New Roman" w:hAnsi="Times New Roman" w:eastAsia="宋体"/>
          <w:b/>
          <w:sz w:val="21"/>
        </w:rPr>
        <w:t>路线B（回归+规则）</w:t>
      </w:r>
      <w:r>
        <w:rPr>
          <w:rFonts w:ascii="Times New Roman" w:hAnsi="Times New Roman" w:eastAsia="宋体"/>
          <w:b w:val="0"/>
          <w:sz w:val="21"/>
        </w:rPr>
        <w:t>——优势：机制透明、与谈赔定价业务逻辑一致；回归器与规则解耦，规则调整无需重训；当回归精度足够高（若 u 可被特征充分解释）时理论上可达两问合一的简洁解。劣势：性能受制于回归精度且误差在阈值处非线性放大、方向性漏检严重（本数据实测宏 F1 −0.076、严重召回 −0.208）；要求回归器具备尾部精度恰是其最难部分。</w:t>
      </w:r>
    </w:p>
    <w:p>
      <w:pPr>
        <w:spacing w:after="60"/>
      </w:pPr>
      <w:r>
        <w:rPr>
          <w:rFonts w:ascii="Times New Roman" w:hAnsi="Times New Roman" w:eastAsia="宋体"/>
          <w:b w:val="0"/>
          <w:sz w:val="21"/>
        </w:rPr>
        <w:t xml:space="preserve">· </w:t>
      </w:r>
      <w:r>
        <w:rPr>
          <w:rFonts w:ascii="Times New Roman" w:hAnsi="Times New Roman" w:eastAsia="宋体"/>
          <w:b/>
          <w:sz w:val="21"/>
        </w:rPr>
        <w:t>结论</w:t>
      </w:r>
      <w:r>
        <w:rPr>
          <w:rFonts w:ascii="Times New Roman" w:hAnsi="Times New Roman" w:eastAsia="宋体"/>
          <w:b w:val="0"/>
          <w:sz w:val="21"/>
        </w:rPr>
        <w:t>：在本数据条件下路线A 显著优于路线B，提交结果采用路线A；路线B 作为对照论证。若未来谈赔定价数据更完备、赔付可解释性提升，路线B 的地位可能反转——两路线的适用性取决于"赔付可预测性"与"特征对标签的判别力"的相对强弱。</w:t>
      </w:r>
    </w:p>
    <w:p>
      <w:pPr>
        <w:pStyle w:val="Heading3"/>
      </w:pPr>
      <w:r>
        <w:rPr>
          <w:rFonts w:ascii="Times New Roman" w:hAnsi="Times New Roman" w:eastAsia="黑体"/>
          <w:b/>
          <w:color w:val="000000"/>
          <w:sz w:val="24"/>
        </w:rPr>
        <w:t>6.4 稳健性</w:t>
      </w:r>
    </w:p>
    <w:p>
      <w:pPr>
        <w:spacing w:after="120"/>
        <w:ind w:firstLine="420"/>
      </w:pPr>
      <w:r>
        <w:rPr>
          <w:rFonts w:ascii="Times New Roman" w:hAnsi="Times New Roman" w:eastAsia="宋体"/>
          <w:b w:val="0"/>
          <w:sz w:val="21"/>
        </w:rPr>
        <w:t>标签扰动（三组 τ 配置重训）宏 F1 为 0.6350 / 0.6165 / 0.6238（±0.012~0.019），波动不超过 0.019；全部实验固定 seed=2025 且 LGBM 确定性模式，折间标准差小（宏 F1 ±0.0118）。</w:t>
      </w:r>
    </w:p>
    <w:p>
      <w:pPr>
        <w:pStyle w:val="Heading2"/>
      </w:pPr>
      <w:r>
        <w:rPr>
          <w:rFonts w:ascii="Times New Roman" w:hAnsi="Times New Roman" w:eastAsia="黑体"/>
          <w:b/>
          <w:color w:val="000000"/>
          <w:sz w:val="28"/>
        </w:rPr>
        <w:t>七、提交结果</w:t>
      </w:r>
    </w:p>
    <w:p>
      <w:pPr>
        <w:spacing w:after="120"/>
        <w:ind w:firstLine="420"/>
      </w:pPr>
      <w:r>
        <w:rPr>
          <w:rFonts w:ascii="Times New Roman" w:hAnsi="Times New Roman" w:eastAsia="宋体"/>
          <w:b w:val="0"/>
          <w:sz w:val="21"/>
        </w:rPr>
        <w:t>`Result_提交.xlsx` 以题目模板为唯一基准：2,792 行运单号（1~2792）与模板逐行完全一致、一个未动；填充列：实际赔付金额（2 位小数，非负，中位数 209.00 元、均值 267.61 元、最大 1,335.98 元）；风险标注分布：合理诉求 89.58%、诉求偏高 9.03%、严重超额 1.40%（满足题面 &lt;3% 软约束，与训练分布 85.97/11.96/2.07 形态一致，偏高类略保守）。作为参考，路线B 判定分布为 90.47% / 9.49% / 0.04%，再次印证其严重类漏检问题（该路线不提交，仅用于对比论证）。</w:t>
      </w:r>
    </w:p>
    <w:p>
      <w:pPr>
        <w:pStyle w:val="Heading2"/>
      </w:pPr>
      <w:r>
        <w:rPr>
          <w:rFonts w:ascii="Times New Roman" w:hAnsi="Times New Roman" w:eastAsia="黑体"/>
          <w:b/>
          <w:color w:val="000000"/>
          <w:sz w:val="28"/>
        </w:rPr>
        <w:t>八、模型评价与推广</w:t>
      </w:r>
    </w:p>
    <w:p>
      <w:pPr>
        <w:pStyle w:val="Heading3"/>
      </w:pPr>
      <w:r>
        <w:rPr>
          <w:rFonts w:ascii="Times New Roman" w:hAnsi="Times New Roman" w:eastAsia="黑体"/>
          <w:b/>
          <w:color w:val="000000"/>
          <w:sz w:val="24"/>
        </w:rPr>
        <w:t>8.1 优点</w:t>
      </w:r>
    </w:p>
    <w:p>
      <w:pPr>
        <w:spacing w:after="60"/>
      </w:pPr>
      <w:r>
        <w:rPr>
          <w:rFonts w:ascii="Times New Roman" w:hAnsi="Times New Roman" w:eastAsia="宋体"/>
          <w:b w:val="0"/>
          <w:sz w:val="21"/>
        </w:rPr>
        <w:t xml:space="preserve">1. </w:t>
      </w:r>
      <w:r>
        <w:rPr>
          <w:rFonts w:ascii="Times New Roman" w:hAnsi="Times New Roman" w:eastAsia="宋体"/>
          <w:b/>
          <w:sz w:val="21"/>
        </w:rPr>
        <w:t>规则可解释、可检验</w:t>
      </w:r>
      <w:r>
        <w:rPr>
          <w:rFonts w:ascii="Times New Roman" w:hAnsi="Times New Roman" w:eastAsia="宋体"/>
          <w:b w:val="0"/>
          <w:sz w:val="21"/>
        </w:rPr>
        <w:t>：标注规则为两条显式单调边界，参数少、业务含义清晰（赔付越高容忍超额越大），占比、单调性、类内紧凑、密度对比四项性质均可数值复验，并做了 12 组参数敏感性实验；</w:t>
      </w:r>
    </w:p>
    <w:p>
      <w:pPr>
        <w:spacing w:after="60"/>
      </w:pPr>
      <w:r>
        <w:rPr>
          <w:rFonts w:ascii="Times New Roman" w:hAnsi="Times New Roman" w:eastAsia="宋体"/>
          <w:b w:val="0"/>
          <w:sz w:val="21"/>
        </w:rPr>
        <w:t xml:space="preserve">2. </w:t>
      </w:r>
      <w:r>
        <w:rPr>
          <w:rFonts w:ascii="Times New Roman" w:hAnsi="Times New Roman" w:eastAsia="宋体"/>
          <w:b/>
          <w:sz w:val="21"/>
        </w:rPr>
        <w:t>数据陷阱处理稳健</w:t>
      </w:r>
      <w:r>
        <w:rPr>
          <w:rFonts w:ascii="Times New Roman" w:hAnsi="Times New Roman" w:eastAsia="宋体"/>
          <w:b w:val="0"/>
          <w:sz w:val="21"/>
        </w:rPr>
        <w:t>：对英文变量名行、保价金额负值、配送超时饱和带、进线时长混合尺度、万单理赔率负值等一律"保留原值 + 指示特征"，不删样本、不引入选择偏差；</w:t>
      </w:r>
    </w:p>
    <w:p>
      <w:pPr>
        <w:spacing w:after="60"/>
      </w:pPr>
      <w:r>
        <w:rPr>
          <w:rFonts w:ascii="Times New Roman" w:hAnsi="Times New Roman" w:eastAsia="宋体"/>
          <w:b w:val="0"/>
          <w:sz w:val="21"/>
        </w:rPr>
        <w:t xml:space="preserve">3. </w:t>
      </w:r>
      <w:r>
        <w:rPr>
          <w:rFonts w:ascii="Times New Roman" w:hAnsi="Times New Roman" w:eastAsia="宋体"/>
          <w:b/>
          <w:sz w:val="21"/>
        </w:rPr>
        <w:t>评估严谨</w:t>
      </w:r>
      <w:r>
        <w:rPr>
          <w:rFonts w:ascii="Times New Roman" w:hAnsi="Times New Roman" w:eastAsia="宋体"/>
          <w:b w:val="0"/>
          <w:sz w:val="21"/>
        </w:rPr>
        <w:t>：金额预测以 MAE 为主、多指标互证并设三重基线；分类采用 StratifiedKFold + 宏 F1 + 每类精确/召回，回避不均衡下 accuracy 的误导；路线A/B 共用折索引，对比公平；</w:t>
      </w:r>
    </w:p>
    <w:p>
      <w:pPr>
        <w:spacing w:after="60"/>
      </w:pPr>
      <w:r>
        <w:rPr>
          <w:rFonts w:ascii="Times New Roman" w:hAnsi="Times New Roman" w:eastAsia="宋体"/>
          <w:b w:val="0"/>
          <w:sz w:val="21"/>
        </w:rPr>
        <w:t xml:space="preserve">4. </w:t>
      </w:r>
      <w:r>
        <w:rPr>
          <w:rFonts w:ascii="Times New Roman" w:hAnsi="Times New Roman" w:eastAsia="宋体"/>
          <w:b/>
          <w:sz w:val="21"/>
        </w:rPr>
        <w:t>不均衡处理成体系</w:t>
      </w:r>
      <w:r>
        <w:rPr>
          <w:rFonts w:ascii="Times New Roman" w:hAnsi="Times New Roman" w:eastAsia="宋体"/>
          <w:b w:val="0"/>
          <w:sz w:val="21"/>
        </w:rPr>
        <w:t>：三类机制（权重/重采样/阈值移动）× 8 配置系统实验，给出过采样强度存在最优点的实证结论；</w:t>
      </w:r>
    </w:p>
    <w:p>
      <w:pPr>
        <w:spacing w:after="60"/>
      </w:pPr>
      <w:r>
        <w:rPr>
          <w:rFonts w:ascii="Times New Roman" w:hAnsi="Times New Roman" w:eastAsia="宋体"/>
          <w:b w:val="0"/>
          <w:sz w:val="21"/>
        </w:rPr>
        <w:t xml:space="preserve">5. </w:t>
      </w:r>
      <w:r>
        <w:rPr>
          <w:rFonts w:ascii="Times New Roman" w:hAnsi="Times New Roman" w:eastAsia="宋体"/>
          <w:b/>
          <w:sz w:val="21"/>
        </w:rPr>
        <w:t>两路线定量对比</w:t>
      </w:r>
      <w:r>
        <w:rPr>
          <w:rFonts w:ascii="Times New Roman" w:hAnsi="Times New Roman" w:eastAsia="宋体"/>
          <w:b w:val="0"/>
          <w:sz w:val="21"/>
        </w:rPr>
        <w:t>：不止于定性论述，以同折实验、混淆结构与误差传导机制解释优劣根源。</w:t>
      </w:r>
    </w:p>
    <w:p>
      <w:pPr>
        <w:pStyle w:val="Heading3"/>
      </w:pPr>
      <w:r>
        <w:rPr>
          <w:rFonts w:ascii="Times New Roman" w:hAnsi="Times New Roman" w:eastAsia="黑体"/>
          <w:b/>
          <w:color w:val="000000"/>
          <w:sz w:val="24"/>
        </w:rPr>
        <w:t>8.2 缺点与改进方向</w:t>
      </w:r>
    </w:p>
    <w:p>
      <w:pPr>
        <w:spacing w:after="60"/>
      </w:pPr>
      <w:r>
        <w:rPr>
          <w:rFonts w:ascii="Times New Roman" w:hAnsi="Times New Roman" w:eastAsia="宋体"/>
          <w:b w:val="0"/>
          <w:sz w:val="21"/>
        </w:rPr>
        <w:t xml:space="preserve">1. </w:t>
      </w:r>
      <w:r>
        <w:rPr>
          <w:rFonts w:ascii="Times New Roman" w:hAnsi="Times New Roman" w:eastAsia="宋体"/>
          <w:b/>
          <w:sz w:val="21"/>
        </w:rPr>
        <w:t>标注规则由约束驱动构造</w:t>
      </w:r>
      <w:r>
        <w:rPr>
          <w:rFonts w:ascii="Times New Roman" w:hAnsi="Times New Roman" w:eastAsia="宋体"/>
          <w:b w:val="0"/>
          <w:sz w:val="21"/>
        </w:rPr>
        <w:t>：数据无天然密度谷，规则以题面软约束为目标主动构造，无法与"真实业务标注"对照验证；若业务方提供人工谈赔标注样本，可用其校准 τ₁、τ₂；</w:t>
      </w:r>
    </w:p>
    <w:p>
      <w:pPr>
        <w:spacing w:after="60"/>
      </w:pPr>
      <w:r>
        <w:rPr>
          <w:rFonts w:ascii="Times New Roman" w:hAnsi="Times New Roman" w:eastAsia="宋体"/>
          <w:b w:val="0"/>
          <w:sz w:val="21"/>
        </w:rPr>
        <w:t xml:space="preserve">2. </w:t>
      </w:r>
      <w:r>
        <w:rPr>
          <w:rFonts w:ascii="Times New Roman" w:hAnsi="Times New Roman" w:eastAsia="宋体"/>
          <w:b/>
          <w:sz w:val="21"/>
        </w:rPr>
        <w:t>赔付可预测性受限</w:t>
      </w:r>
      <w:r>
        <w:rPr>
          <w:rFonts w:ascii="Times New Roman" w:hAnsi="Times New Roman" w:eastAsia="宋体"/>
          <w:b w:val="0"/>
          <w:sz w:val="21"/>
        </w:rPr>
        <w:t>：MAE≈96 元源于超额索赔额的条件方差大，特征集对谈赔过程（协商、证据、保价条款执行）无观测；引入保价条款细节、历史谈赔记录、客户画像可望突破；</w:t>
      </w:r>
    </w:p>
    <w:p>
      <w:pPr>
        <w:spacing w:after="60"/>
      </w:pPr>
      <w:r>
        <w:rPr>
          <w:rFonts w:ascii="Times New Roman" w:hAnsi="Times New Roman" w:eastAsia="宋体"/>
          <w:b w:val="0"/>
          <w:sz w:val="21"/>
        </w:rPr>
        <w:t xml:space="preserve">3. </w:t>
      </w:r>
      <w:r>
        <w:rPr>
          <w:rFonts w:ascii="Times New Roman" w:hAnsi="Times New Roman" w:eastAsia="宋体"/>
          <w:b/>
          <w:sz w:val="21"/>
        </w:rPr>
        <w:t>严重类指标方差偏大</w:t>
      </w:r>
      <w:r>
        <w:rPr>
          <w:rFonts w:ascii="Times New Roman" w:hAnsi="Times New Roman" w:eastAsia="宋体"/>
          <w:b w:val="0"/>
          <w:sz w:val="21"/>
        </w:rPr>
        <w:t>：231 个严重类样本使分类指标置信区间较宽，可扩充重复折（5×2）或引入代价敏感的评估；</w:t>
      </w:r>
    </w:p>
    <w:p>
      <w:pPr>
        <w:spacing w:after="60"/>
      </w:pPr>
      <w:r>
        <w:rPr>
          <w:rFonts w:ascii="Times New Roman" w:hAnsi="Times New Roman" w:eastAsia="宋体"/>
          <w:b w:val="0"/>
          <w:sz w:val="21"/>
        </w:rPr>
        <w:t xml:space="preserve">4. </w:t>
      </w:r>
      <w:r>
        <w:rPr>
          <w:rFonts w:ascii="Times New Roman" w:hAnsi="Times New Roman" w:eastAsia="宋体"/>
          <w:b/>
          <w:sz w:val="21"/>
        </w:rPr>
        <w:t>规则形态为全局线性</w:t>
      </w:r>
      <w:r>
        <w:rPr>
          <w:rFonts w:ascii="Times New Roman" w:hAnsi="Times New Roman" w:eastAsia="宋体"/>
          <w:b w:val="0"/>
          <w:sz w:val="21"/>
        </w:rPr>
        <w:t>：赔付极高区（&gt;1000 元）样本稀疏，边界外推未接受数据检验；可用分段样条或分位回归森林增强局部适应性。</w:t>
      </w:r>
    </w:p>
    <w:p>
      <w:pPr>
        <w:pStyle w:val="Heading3"/>
      </w:pPr>
      <w:r>
        <w:rPr>
          <w:rFonts w:ascii="Times New Roman" w:hAnsi="Times New Roman" w:eastAsia="黑体"/>
          <w:b/>
          <w:color w:val="000000"/>
          <w:sz w:val="24"/>
        </w:rPr>
        <w:t>8.3 模型推广</w:t>
      </w:r>
    </w:p>
    <w:p>
      <w:pPr>
        <w:spacing w:after="120"/>
        <w:ind w:firstLine="420"/>
      </w:pPr>
      <w:r>
        <w:rPr>
          <w:rFonts w:ascii="Times New Roman" w:hAnsi="Times New Roman" w:eastAsia="宋体"/>
          <w:b w:val="0"/>
          <w:sz w:val="21"/>
        </w:rPr>
        <w:t>双阈值单调边界规则可直接推广至任何"偏差量-规模量"二维风险划分场景（如退赔差额-订单金额、投诉时效-订单价值）；"回归+规则"与"直接分类"的两路线对比框架也适用于一切"先预测连续量再按业务规则分级"的决策问题，本文给出了其误差传导的定量分析方法。</w:t>
      </w:r>
    </w:p>
    <w:p>
      <w:pPr>
        <w:pStyle w:val="Heading2"/>
      </w:pPr>
      <w:r>
        <w:rPr>
          <w:rFonts w:ascii="Times New Roman" w:hAnsi="Times New Roman" w:eastAsia="黑体"/>
          <w:b/>
          <w:color w:val="000000"/>
          <w:sz w:val="28"/>
        </w:rPr>
        <w:t>参考文献</w:t>
      </w:r>
    </w:p>
    <w:p>
      <w:pPr>
        <w:spacing w:after="120"/>
        <w:ind w:firstLine="420"/>
      </w:pPr>
      <w:r>
        <w:rPr>
          <w:rFonts w:ascii="Times New Roman" w:hAnsi="Times New Roman" w:eastAsia="宋体"/>
          <w:b w:val="0"/>
          <w:sz w:val="21"/>
        </w:rPr>
        <w:t>（以下均为一般性方法文献，与本题解答无涉）</w:t>
      </w:r>
    </w:p>
    <w:p>
      <w:pPr>
        <w:spacing w:after="120"/>
        <w:ind w:firstLine="420"/>
      </w:pPr>
      <w:r>
        <w:rPr>
          <w:rFonts w:ascii="Times New Roman" w:hAnsi="Times New Roman" w:eastAsia="宋体"/>
          <w:b w:val="0"/>
          <w:sz w:val="21"/>
        </w:rPr>
        <w:t>[1] Ke G, Meng Q, Finley T, et al. LightGBM: A Highly Efficient Gradient Boosting Decision Tree. NIPS 2017.（梯度提升树一般方法）</w:t>
      </w:r>
    </w:p>
    <w:p>
      <w:pPr>
        <w:spacing w:after="120"/>
        <w:ind w:firstLine="420"/>
      </w:pPr>
      <w:r>
        <w:rPr>
          <w:rFonts w:ascii="Times New Roman" w:hAnsi="Times New Roman" w:eastAsia="宋体"/>
          <w:b w:val="0"/>
          <w:sz w:val="21"/>
        </w:rPr>
        <w:t>[2] Krawczyk B. Learning from imbalanced data: open challenges and future directions. Progress in Artificial Intelligence, 2016, 5(4): 221-232.（类不均衡一般方法综述）</w:t>
      </w:r>
    </w:p>
    <w:p>
      <w:pPr>
        <w:spacing w:after="120"/>
        <w:ind w:firstLine="420"/>
      </w:pPr>
      <w:r>
        <w:rPr>
          <w:rFonts w:ascii="Times New Roman" w:hAnsi="Times New Roman" w:eastAsia="宋体"/>
          <w:b w:val="0"/>
          <w:sz w:val="21"/>
        </w:rPr>
        <w:t>[3] Koenker R, Bassett G. Regression Quantiles. Econometrica, 1978, 46(1): 33-50.（分位回归一般方法）</w:t>
      </w:r>
    </w:p>
    <w:p>
      <w:pPr>
        <w:spacing w:after="120"/>
        <w:ind w:firstLine="420"/>
      </w:pPr>
      <w:r>
        <w:rPr>
          <w:rFonts w:ascii="Times New Roman" w:hAnsi="Times New Roman" w:eastAsia="宋体"/>
          <w:b w:val="0"/>
          <w:sz w:val="21"/>
        </w:rPr>
        <w:t>[4] Chawla N V, et al. SMOTE: Synthetic Minority Over-sampling Technique. JAIR, 2002, 16: 321-357.（少类过采样一般方法）</w:t>
      </w:r>
    </w:p>
    <w:p>
      <w:pPr>
        <w:spacing w:after="120"/>
        <w:ind w:firstLine="420"/>
      </w:pPr>
      <w:r>
        <w:rPr>
          <w:rFonts w:ascii="Times New Roman" w:hAnsi="Times New Roman" w:eastAsia="宋体"/>
          <w:b w:val="0"/>
          <w:sz w:val="21"/>
        </w:rPr>
        <w:t>[5] 庄晓天, 等. 智能供应链：数据科学理论与实战. 电子工业出版社, 2025.（赛题参考材料）</w:t>
      </w:r>
    </w:p>
    <w:p>
      <w:pPr>
        <w:pStyle w:val="Heading2"/>
      </w:pPr>
      <w:r>
        <w:rPr>
          <w:rFonts w:ascii="Times New Roman" w:hAnsi="Times New Roman" w:eastAsia="黑体"/>
          <w:b/>
          <w:color w:val="000000"/>
          <w:sz w:val="28"/>
        </w:rPr>
        <w:t>附录</w:t>
      </w:r>
    </w:p>
    <w:p>
      <w:pPr>
        <w:spacing w:after="120"/>
        <w:ind w:firstLine="420"/>
      </w:pPr>
      <w:r>
        <w:rPr>
          <w:rFonts w:ascii="Times New Roman" w:hAnsi="Times New Roman" w:eastAsia="宋体"/>
          <w:b/>
          <w:sz w:val="21"/>
        </w:rPr>
        <w:t>附录 A 提交文件说明</w:t>
      </w:r>
      <w:r>
        <w:rPr>
          <w:rFonts w:ascii="Times New Roman" w:hAnsi="Times New Roman" w:eastAsia="宋体"/>
          <w:b w:val="0"/>
          <w:sz w:val="21"/>
        </w:rPr>
        <w:t>：`Result_提交.xlsx` 共 2,792 行 × 3 列（运单号 / 实际赔付金额 / 风险标注），运单号与题目模板逐行一致。</w:t>
      </w:r>
    </w:p>
    <w:p>
      <w:pPr>
        <w:spacing w:after="120"/>
        <w:ind w:firstLine="420"/>
      </w:pPr>
      <w:r>
        <w:rPr>
          <w:rFonts w:ascii="Times New Roman" w:hAnsi="Times New Roman" w:eastAsia="宋体"/>
          <w:b/>
          <w:sz w:val="21"/>
        </w:rPr>
        <w:t>附录 B 代码清单</w:t>
      </w:r>
      <w:r>
        <w:rPr>
          <w:rFonts w:ascii="Times New Roman" w:hAnsi="Times New Roman" w:eastAsia="宋体"/>
          <w:b w:val="0"/>
          <w:sz w:val="21"/>
        </w:rPr>
        <w:t>（全部可复跑，路径为绝对路径，随机种子 2025）：`01_data_explore.py`（结构勘察）、`02_data_deepdive.py`（数值结构与陷阱）、`03_target_structure.py`（目标二维结构）、`04_density_valley.py`（密度谷探测）、`05_clean_features.py`（清洗与特征工程）、`06_q1_rule.py`（规则估计与择优，S1-S4 校验）、`07_q2_regression.py`（回归实验与配置冻结）、`08_q3_classification.py`（分类三方案+路线B 对比）、`09_final_submit.py`（全量重训与提交文件生成）、`10_sensitivity.py`（敏感性+消融）、`11_make_figures.py`（论文图表）、`12_make_docx.py`（论文转制，含 LaTeX→Unicode 兜底转写层与自检）、`13_qa_check.py`（独立质控检查）、`14_md_unicode.py`（论文公式转写）。</w:t>
      </w:r>
    </w:p>
    <w:p>
      <w:pPr>
        <w:spacing w:after="120"/>
        <w:ind w:firstLine="420"/>
      </w:pPr>
      <w:r>
        <w:rPr>
          <w:rFonts w:ascii="Times New Roman" w:hAnsi="Times New Roman" w:eastAsia="宋体"/>
          <w:b/>
          <w:sz w:val="21"/>
        </w:rPr>
        <w:t>附录 C 支撑表格</w:t>
      </w:r>
      <w:r>
        <w:rPr>
          <w:rFonts w:ascii="Times New Roman" w:hAnsi="Times New Roman" w:eastAsia="宋体"/>
          <w:b w:val="0"/>
          <w:sz w:val="21"/>
        </w:rPr>
        <w:t>：规则参数（rule_final.json）、标注画像（q1_class_profile.csv）、回归指标（q2_cv_metrics.csv）、分类指标（q3_cv_metrics.csv）、混淆矩阵（q3_confusion_routeA/B.csv）、消融（q2_ablation.csv）、敏感性（sensitivity_tau.csv、sensitivity_q3_labels.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