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9817" w14:textId="1674F9AD" w:rsidR="00FA1F25" w:rsidRDefault="00FA1F25" w:rsidP="00FA1F25">
      <w:pPr>
        <w:tabs>
          <w:tab w:val="left" w:pos="900"/>
        </w:tabs>
        <w:ind w:firstLine="435"/>
        <w:jc w:val="center"/>
        <w:rPr>
          <w:rFonts w:ascii="幼圆" w:eastAsia="幼圆"/>
          <w:sz w:val="32"/>
          <w:szCs w:val="32"/>
        </w:rPr>
      </w:pPr>
      <w:bookmarkStart w:id="0" w:name="_Toc85078461"/>
      <w:bookmarkStart w:id="1" w:name="_Toc85079036"/>
      <w:bookmarkStart w:id="2" w:name="_Toc85079583"/>
      <w:bookmarkStart w:id="3" w:name="_Toc85082724"/>
      <w:bookmarkStart w:id="4" w:name="_Toc85082786"/>
      <w:bookmarkStart w:id="5" w:name="_Toc85083078"/>
      <w:bookmarkStart w:id="6" w:name="_Toc85083511"/>
      <w:bookmarkStart w:id="7" w:name="_Toc85083794"/>
      <w:bookmarkStart w:id="8" w:name="_Toc85181475"/>
      <w:r>
        <w:rPr>
          <w:rFonts w:ascii="幼圆" w:eastAsia="幼圆" w:hint="eastAsia"/>
          <w:sz w:val="32"/>
          <w:szCs w:val="32"/>
        </w:rPr>
        <w:t xml:space="preserve">实验三  </w:t>
      </w:r>
      <w:proofErr w:type="gramStart"/>
      <w:r>
        <w:rPr>
          <w:rFonts w:ascii="幼圆" w:eastAsia="幼圆" w:hint="eastAsia"/>
          <w:sz w:val="32"/>
          <w:szCs w:val="32"/>
        </w:rPr>
        <w:t>液位单闭环</w:t>
      </w:r>
      <w:proofErr w:type="gramEnd"/>
      <w:r>
        <w:rPr>
          <w:rFonts w:ascii="幼圆" w:eastAsia="幼圆" w:hint="eastAsia"/>
          <w:sz w:val="32"/>
          <w:szCs w:val="32"/>
        </w:rPr>
        <w:t>实验（计算机控制）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93C5E0E" w14:textId="77777777" w:rsidR="00FA1F25" w:rsidRPr="00F97E31" w:rsidRDefault="00FA1F25" w:rsidP="00FA1F25">
      <w:pPr>
        <w:tabs>
          <w:tab w:val="left" w:pos="900"/>
        </w:tabs>
      </w:pPr>
    </w:p>
    <w:p w14:paraId="2BF125AA" w14:textId="77777777" w:rsidR="00FA1F25" w:rsidRDefault="00FA1F25" w:rsidP="00FA1F25">
      <w:pPr>
        <w:tabs>
          <w:tab w:val="left" w:pos="900"/>
        </w:tabs>
      </w:pPr>
    </w:p>
    <w:p w14:paraId="5D3EB7C8" w14:textId="77777777" w:rsidR="00FA1F25" w:rsidRDefault="00FA1F25" w:rsidP="00FA1F25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一、实验目的：</w:t>
      </w:r>
    </w:p>
    <w:p w14:paraId="4A1D695E" w14:textId="77777777" w:rsidR="00FA1F25" w:rsidRDefault="00FA1F25" w:rsidP="00FA1F25">
      <w:pPr>
        <w:tabs>
          <w:tab w:val="left" w:pos="900"/>
        </w:tabs>
        <w:rPr>
          <w:sz w:val="10"/>
        </w:rPr>
      </w:pPr>
    </w:p>
    <w:p w14:paraId="656022B3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通过实验掌握单回路控制系统的构成。学生可自行设计，构成单</w:t>
      </w:r>
      <w:proofErr w:type="gramStart"/>
      <w:r>
        <w:rPr>
          <w:rFonts w:hint="eastAsia"/>
        </w:rPr>
        <w:t>回路单容液</w:t>
      </w:r>
      <w:proofErr w:type="gramEnd"/>
      <w:r>
        <w:rPr>
          <w:rFonts w:hint="eastAsia"/>
        </w:rPr>
        <w:t>位，并采用临界比例度法、</w:t>
      </w:r>
      <w:proofErr w:type="gramStart"/>
      <w:r>
        <w:rPr>
          <w:rFonts w:hint="eastAsia"/>
        </w:rPr>
        <w:t>阶跃反应</w:t>
      </w:r>
      <w:proofErr w:type="gramEnd"/>
      <w:r>
        <w:rPr>
          <w:rFonts w:hint="eastAsia"/>
        </w:rPr>
        <w:t>曲线法和整定单回路控制系统的</w:t>
      </w:r>
      <w:r>
        <w:t>PID</w:t>
      </w:r>
      <w:r>
        <w:rPr>
          <w:rFonts w:hint="eastAsia"/>
        </w:rPr>
        <w:t>参数，熟悉</w:t>
      </w:r>
      <w:r>
        <w:t>PID</w:t>
      </w:r>
      <w:r>
        <w:rPr>
          <w:rFonts w:hint="eastAsia"/>
        </w:rPr>
        <w:t>参数对控制系统质量指标的影响，用计算机进行</w:t>
      </w:r>
      <w:r>
        <w:t>PID</w:t>
      </w:r>
      <w:r>
        <w:rPr>
          <w:rFonts w:hint="eastAsia"/>
        </w:rPr>
        <w:t>参数的调整和自动控制的投运。</w:t>
      </w:r>
    </w:p>
    <w:p w14:paraId="342007EB" w14:textId="77777777" w:rsidR="00FA1F25" w:rsidRDefault="00FA1F25" w:rsidP="00FA1F25">
      <w:pPr>
        <w:tabs>
          <w:tab w:val="left" w:pos="900"/>
        </w:tabs>
        <w:ind w:firstLine="540"/>
      </w:pPr>
    </w:p>
    <w:p w14:paraId="4BDC8282" w14:textId="77777777" w:rsidR="00FA1F25" w:rsidRDefault="00FA1F25" w:rsidP="00FA1F25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二、实验设备：</w:t>
      </w:r>
    </w:p>
    <w:p w14:paraId="6587A1A5" w14:textId="77777777" w:rsidR="00FA1F25" w:rsidRDefault="00FA1F25" w:rsidP="00FA1F25">
      <w:pPr>
        <w:tabs>
          <w:tab w:val="left" w:pos="900"/>
        </w:tabs>
        <w:rPr>
          <w:sz w:val="10"/>
        </w:rPr>
      </w:pPr>
    </w:p>
    <w:p w14:paraId="1F5130C7" w14:textId="77777777" w:rsidR="00FA1F25" w:rsidRDefault="00000000" w:rsidP="00FA1F25">
      <w:pPr>
        <w:tabs>
          <w:tab w:val="left" w:pos="900"/>
        </w:tabs>
        <w:spacing w:line="320" w:lineRule="exact"/>
        <w:ind w:firstLineChars="200" w:firstLine="420"/>
        <w:rPr>
          <w:sz w:val="24"/>
        </w:rPr>
      </w:pPr>
      <w:r>
        <w:rPr>
          <w:noProof/>
        </w:rPr>
        <w:object w:dxaOrig="1440" w:dyaOrig="1440" w14:anchorId="6AE7FC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45pt;margin-top:39.2pt;width:311.8pt;height:284.7pt;z-index:251660288">
            <v:imagedata r:id="rId6" o:title="" croptop="4389f" cropbottom="17675f" cropleft="35394f" cropright="3560f"/>
            <w10:wrap type="topAndBottom"/>
          </v:shape>
          <o:OLEObject Type="Embed" ProgID="AutoCAD.Drawing.16" ShapeID="_x0000_s2051" DrawAspect="Content" ObjectID="_1837628124" r:id="rId7"/>
        </w:object>
      </w:r>
      <w:r w:rsidR="00FA1F25">
        <w:rPr>
          <w:rFonts w:hint="eastAsia"/>
        </w:rPr>
        <w:t>水泵、变频器、压力变送器、主回路调节阀、上水箱、上水箱液位变送器、牛顿模块（输入、输出）。</w:t>
      </w:r>
    </w:p>
    <w:p w14:paraId="08C9031C" w14:textId="77777777" w:rsidR="00FA1F25" w:rsidRDefault="00FA1F25" w:rsidP="00FA1F25">
      <w:pPr>
        <w:tabs>
          <w:tab w:val="left" w:pos="900"/>
        </w:tabs>
        <w:jc w:val="center"/>
      </w:pPr>
    </w:p>
    <w:p w14:paraId="22890138" w14:textId="77777777" w:rsidR="00FA1F25" w:rsidRDefault="00000000" w:rsidP="00FA1F25">
      <w:pPr>
        <w:tabs>
          <w:tab w:val="left" w:pos="900"/>
        </w:tabs>
        <w:jc w:val="center"/>
      </w:pPr>
      <w:r>
        <w:rPr>
          <w:noProof/>
          <w:sz w:val="20"/>
        </w:rPr>
        <w:object w:dxaOrig="1440" w:dyaOrig="1440" w14:anchorId="60BCEF10">
          <v:shape id="_x0000_s2050" type="#_x0000_t75" style="position:absolute;left:0;text-align:left;margin-left:27pt;margin-top:2.1pt;width:340.15pt;height:81pt;z-index:251659264">
            <v:imagedata r:id="rId8" o:title="" croptop="11436f" cropbottom="38101f" cropleft="10537f" cropright="17277f"/>
            <w10:wrap type="topAndBottom"/>
          </v:shape>
          <o:OLEObject Type="Embed" ProgID="AutoCAD.Drawing.15" ShapeID="_x0000_s2050" DrawAspect="Content" ObjectID="_1837628125" r:id="rId9"/>
        </w:object>
      </w:r>
      <w:r w:rsidR="00FA1F25">
        <w:rPr>
          <w:rFonts w:hint="eastAsia"/>
        </w:rPr>
        <w:t>图</w:t>
      </w:r>
      <w:r w:rsidR="00FA1F25">
        <w:rPr>
          <w:rFonts w:hint="eastAsia"/>
        </w:rPr>
        <w:t xml:space="preserve">4-8- b </w:t>
      </w:r>
      <w:r w:rsidR="00FA1F25">
        <w:rPr>
          <w:rFonts w:hint="eastAsia"/>
        </w:rPr>
        <w:t>上水箱液位闭环实验（计算机控制）框图</w:t>
      </w:r>
    </w:p>
    <w:p w14:paraId="7D009616" w14:textId="77777777" w:rsidR="00FA1F25" w:rsidRDefault="00FA1F25" w:rsidP="00FA1F25">
      <w:pPr>
        <w:tabs>
          <w:tab w:val="left" w:pos="900"/>
        </w:tabs>
        <w:ind w:firstLineChars="180" w:firstLine="432"/>
        <w:rPr>
          <w:rFonts w:eastAsia="幼圆"/>
          <w:sz w:val="24"/>
        </w:rPr>
      </w:pPr>
    </w:p>
    <w:p w14:paraId="1A8AB48B" w14:textId="77777777" w:rsidR="00FA1F25" w:rsidRDefault="00FA1F25" w:rsidP="00FA1F25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三、实验步骤：</w:t>
      </w:r>
    </w:p>
    <w:p w14:paraId="563CF75C" w14:textId="77777777" w:rsidR="00FA1F25" w:rsidRDefault="00FA1F25" w:rsidP="00FA1F25">
      <w:pPr>
        <w:tabs>
          <w:tab w:val="left" w:pos="900"/>
        </w:tabs>
        <w:rPr>
          <w:sz w:val="10"/>
        </w:rPr>
      </w:pPr>
    </w:p>
    <w:p w14:paraId="7BEA6D78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proofErr w:type="gramStart"/>
      <w:r>
        <w:rPr>
          <w:rFonts w:hint="eastAsia"/>
        </w:rPr>
        <w:t>阶跃反应</w:t>
      </w:r>
      <w:proofErr w:type="gramEnd"/>
      <w:r>
        <w:rPr>
          <w:rFonts w:hint="eastAsia"/>
        </w:rPr>
        <w:t>曲线法</w:t>
      </w:r>
    </w:p>
    <w:p w14:paraId="6B7687C2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lastRenderedPageBreak/>
        <w:t>1</w:t>
      </w:r>
      <w:r>
        <w:rPr>
          <w:rFonts w:hint="eastAsia"/>
        </w:rPr>
        <w:t>、将</w:t>
      </w:r>
      <w:proofErr w:type="gramStart"/>
      <w:r>
        <w:rPr>
          <w:rFonts w:hint="eastAsia"/>
        </w:rPr>
        <w:t>液位单闭环</w:t>
      </w:r>
      <w:proofErr w:type="gramEnd"/>
      <w:r>
        <w:rPr>
          <w:rFonts w:hint="eastAsia"/>
        </w:rPr>
        <w:t>实验所用的设备，按系统框图接好实验线路。</w:t>
      </w:r>
    </w:p>
    <w:p w14:paraId="3D42FE5C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、接通总电源，各仪表电源。</w:t>
      </w:r>
    </w:p>
    <w:p w14:paraId="4E24E404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、使水泵在恒压供水状态下工作。观察计算机上液位曲线的变化。</w:t>
      </w:r>
    </w:p>
    <w:p w14:paraId="784C4A10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、整定参数值的计算。</w:t>
      </w:r>
    </w:p>
    <w:p w14:paraId="21C23523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设定过度过程的衰减比为</w:t>
      </w:r>
      <w:r>
        <w:t>4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，参数值可根据表</w:t>
      </w:r>
      <w:r>
        <w:rPr>
          <w:rFonts w:hint="eastAsia"/>
        </w:rPr>
        <w:t>4</w:t>
      </w:r>
      <w:r>
        <w:t>.11</w:t>
      </w:r>
      <w:proofErr w:type="gramStart"/>
      <w:r>
        <w:rPr>
          <w:rFonts w:hint="eastAsia"/>
        </w:rPr>
        <w:t>阶跃反应</w:t>
      </w:r>
      <w:proofErr w:type="gramEnd"/>
      <w:r>
        <w:rPr>
          <w:rFonts w:hint="eastAsia"/>
        </w:rPr>
        <w:t>曲线整定参数表。</w:t>
      </w:r>
    </w:p>
    <w:p w14:paraId="327D33CB" w14:textId="7BA73F20" w:rsidR="00FA1F25" w:rsidRDefault="00FA1F25" w:rsidP="00FA1F25">
      <w:pPr>
        <w:tabs>
          <w:tab w:val="left" w:pos="900"/>
        </w:tabs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proofErr w:type="gramStart"/>
      <w:r>
        <w:rPr>
          <w:rFonts w:hint="eastAsia"/>
        </w:rPr>
        <w:t>阶跃反应</w:t>
      </w:r>
      <w:proofErr w:type="gramEnd"/>
      <w:r>
        <w:rPr>
          <w:rFonts w:hint="eastAsia"/>
        </w:rPr>
        <w:t>曲线整定参数表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1604"/>
        <w:gridCol w:w="1605"/>
        <w:gridCol w:w="1605"/>
      </w:tblGrid>
      <w:tr w:rsidR="00FA1F25" w14:paraId="54325190" w14:textId="77777777" w:rsidTr="00B3728E">
        <w:trPr>
          <w:trHeight w:val="640"/>
          <w:jc w:val="center"/>
        </w:trPr>
        <w:tc>
          <w:tcPr>
            <w:tcW w:w="2160" w:type="dxa"/>
            <w:tcBorders>
              <w:tl2br w:val="single" w:sz="4" w:space="0" w:color="auto"/>
            </w:tcBorders>
          </w:tcPr>
          <w:p w14:paraId="0838AF71" w14:textId="77777777" w:rsidR="00FA1F25" w:rsidRDefault="00FA1F25" w:rsidP="00B3728E"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整定参数</w:t>
            </w:r>
          </w:p>
          <w:p w14:paraId="01AF3A7A" w14:textId="77777777" w:rsidR="00FA1F25" w:rsidRDefault="00FA1F25" w:rsidP="00B3728E">
            <w:r>
              <w:rPr>
                <w:rFonts w:hint="eastAsia"/>
              </w:rPr>
              <w:t>调节规律</w:t>
            </w:r>
          </w:p>
        </w:tc>
        <w:tc>
          <w:tcPr>
            <w:tcW w:w="1604" w:type="dxa"/>
            <w:vAlign w:val="center"/>
          </w:tcPr>
          <w:p w14:paraId="3A63052E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δ</w:t>
            </w:r>
          </w:p>
        </w:tc>
        <w:tc>
          <w:tcPr>
            <w:tcW w:w="1605" w:type="dxa"/>
            <w:vAlign w:val="center"/>
          </w:tcPr>
          <w:p w14:paraId="03CA8BA9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1605" w:type="dxa"/>
            <w:vAlign w:val="center"/>
          </w:tcPr>
          <w:p w14:paraId="0C5C83A0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</w:tr>
      <w:tr w:rsidR="00FA1F25" w14:paraId="620DC663" w14:textId="77777777" w:rsidTr="00B3728E">
        <w:trPr>
          <w:trHeight w:val="340"/>
          <w:jc w:val="center"/>
        </w:trPr>
        <w:tc>
          <w:tcPr>
            <w:tcW w:w="2160" w:type="dxa"/>
            <w:vAlign w:val="center"/>
          </w:tcPr>
          <w:p w14:paraId="296FE33F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1604" w:type="dxa"/>
            <w:vAlign w:val="center"/>
          </w:tcPr>
          <w:p w14:paraId="446DAADF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3E4115B0" w14:textId="77777777" w:rsidR="00FA1F25" w:rsidRDefault="00FA1F25" w:rsidP="00B3728E">
            <w:pPr>
              <w:jc w:val="center"/>
            </w:pPr>
          </w:p>
        </w:tc>
        <w:tc>
          <w:tcPr>
            <w:tcW w:w="1605" w:type="dxa"/>
            <w:vAlign w:val="center"/>
          </w:tcPr>
          <w:p w14:paraId="61E9D142" w14:textId="77777777" w:rsidR="00FA1F25" w:rsidRDefault="00FA1F25" w:rsidP="00B3728E">
            <w:pPr>
              <w:jc w:val="center"/>
            </w:pPr>
          </w:p>
        </w:tc>
      </w:tr>
      <w:tr w:rsidR="00FA1F25" w14:paraId="6B82C210" w14:textId="77777777" w:rsidTr="00B3728E">
        <w:trPr>
          <w:trHeight w:val="340"/>
          <w:jc w:val="center"/>
        </w:trPr>
        <w:tc>
          <w:tcPr>
            <w:tcW w:w="2160" w:type="dxa"/>
            <w:vAlign w:val="center"/>
          </w:tcPr>
          <w:p w14:paraId="4580B601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PI</w:t>
            </w:r>
          </w:p>
        </w:tc>
        <w:tc>
          <w:tcPr>
            <w:tcW w:w="1604" w:type="dxa"/>
            <w:vAlign w:val="center"/>
          </w:tcPr>
          <w:p w14:paraId="75D32FBC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41DB244D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0.5T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0F0C721F" w14:textId="77777777" w:rsidR="00FA1F25" w:rsidRDefault="00FA1F25" w:rsidP="00B3728E">
            <w:pPr>
              <w:jc w:val="center"/>
            </w:pPr>
          </w:p>
        </w:tc>
      </w:tr>
      <w:tr w:rsidR="00FA1F25" w14:paraId="3D970006" w14:textId="77777777" w:rsidTr="00B3728E">
        <w:trPr>
          <w:trHeight w:val="340"/>
          <w:jc w:val="center"/>
        </w:trPr>
        <w:tc>
          <w:tcPr>
            <w:tcW w:w="2160" w:type="dxa"/>
            <w:vAlign w:val="center"/>
          </w:tcPr>
          <w:p w14:paraId="125BBF80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PID</w:t>
            </w:r>
          </w:p>
        </w:tc>
        <w:tc>
          <w:tcPr>
            <w:tcW w:w="1604" w:type="dxa"/>
            <w:vAlign w:val="center"/>
          </w:tcPr>
          <w:p w14:paraId="64CE4353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57F9BF56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0.3T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232E2D92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0.1T</w:t>
            </w:r>
            <w:r>
              <w:rPr>
                <w:rFonts w:hint="eastAsia"/>
                <w:vertAlign w:val="subscript"/>
              </w:rPr>
              <w:t>S</w:t>
            </w:r>
          </w:p>
        </w:tc>
      </w:tr>
    </w:tbl>
    <w:p w14:paraId="64E8B2AE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、将计算所得的</w:t>
      </w:r>
      <w:r>
        <w:t>PID</w:t>
      </w:r>
      <w:r>
        <w:rPr>
          <w:rFonts w:hint="eastAsia"/>
        </w:rPr>
        <w:t>参数值置于计算机中，系统投入闭环运行。调整参数观察被测量的变化，直至过渡过程曲线符合要求为止。</w:t>
      </w:r>
    </w:p>
    <w:p w14:paraId="4E1BA882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、待系统稳定后，给定加</w:t>
      </w:r>
      <w:proofErr w:type="gramStart"/>
      <w:r>
        <w:rPr>
          <w:rFonts w:hint="eastAsia"/>
        </w:rPr>
        <w:t>个负阶跃</w:t>
      </w:r>
      <w:proofErr w:type="gramEnd"/>
      <w:r>
        <w:rPr>
          <w:rFonts w:hint="eastAsia"/>
        </w:rPr>
        <w:t>信号，观察并记录其液位变化曲线。</w:t>
      </w:r>
    </w:p>
    <w:p w14:paraId="161C6144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7</w:t>
      </w:r>
      <w:r>
        <w:rPr>
          <w:rFonts w:hint="eastAsia"/>
        </w:rPr>
        <w:t>、响应</w:t>
      </w:r>
      <w:r w:rsidRPr="00B662A9">
        <w:rPr>
          <w:rFonts w:hint="eastAsia"/>
        </w:rPr>
        <w:t>曲线的分析处理。</w:t>
      </w:r>
      <w:bookmarkStart w:id="9" w:name="OLE_LINK1"/>
      <w:r w:rsidRPr="00B662A9">
        <w:rPr>
          <w:rFonts w:hint="eastAsia"/>
        </w:rPr>
        <w:t>对实验数据进行记录，对响应曲线进行分析。</w:t>
      </w:r>
    </w:p>
    <w:bookmarkEnd w:id="9"/>
    <w:p w14:paraId="59CC1F9B" w14:textId="77777777" w:rsidR="00FA1F25" w:rsidRDefault="00FA1F25" w:rsidP="00FA1F25">
      <w:pPr>
        <w:tabs>
          <w:tab w:val="left" w:pos="900"/>
        </w:tabs>
        <w:spacing w:beforeLines="50" w:before="156"/>
        <w:ind w:firstLineChars="180" w:firstLine="432"/>
        <w:rPr>
          <w:rFonts w:ascii="幼圆" w:eastAsia="幼圆"/>
          <w:sz w:val="24"/>
        </w:rPr>
      </w:pPr>
      <w:r>
        <w:rPr>
          <w:rFonts w:ascii="幼圆" w:eastAsia="幼圆" w:hint="eastAsia"/>
          <w:sz w:val="24"/>
        </w:rPr>
        <w:t>四、计算机控制的参数设置:</w:t>
      </w:r>
    </w:p>
    <w:p w14:paraId="06E5561A" w14:textId="77777777" w:rsidR="00FA1F25" w:rsidRDefault="00FA1F25" w:rsidP="00FA1F25">
      <w:pPr>
        <w:tabs>
          <w:tab w:val="left" w:pos="900"/>
        </w:tabs>
        <w:rPr>
          <w:rFonts w:ascii="宋体"/>
          <w:sz w:val="10"/>
        </w:rPr>
      </w:pPr>
    </w:p>
    <w:p w14:paraId="2724E04A" w14:textId="77777777" w:rsidR="00FA1F25" w:rsidRDefault="00FA1F25" w:rsidP="00FA1F25">
      <w:pPr>
        <w:tabs>
          <w:tab w:val="left" w:pos="900"/>
        </w:tabs>
        <w:spacing w:line="320" w:lineRule="exact"/>
        <w:ind w:firstLineChars="200" w:firstLine="420"/>
        <w:rPr>
          <w:rFonts w:ascii="宋体"/>
        </w:rPr>
      </w:pPr>
      <w:bookmarkStart w:id="10" w:name="_Hlk197526948"/>
      <w:r>
        <w:rPr>
          <w:rFonts w:ascii="宋体" w:hint="eastAsia"/>
        </w:rPr>
        <w:t>参数记录：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"/>
        <w:gridCol w:w="954"/>
        <w:gridCol w:w="2340"/>
      </w:tblGrid>
      <w:tr w:rsidR="00FA1F25" w14:paraId="17E9E27F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bookmarkEnd w:id="10"/>
          <w:p w14:paraId="4CBD3D3D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954" w:type="dxa"/>
            <w:vAlign w:val="center"/>
          </w:tcPr>
          <w:p w14:paraId="12E33C82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  <w:tc>
          <w:tcPr>
            <w:tcW w:w="2340" w:type="dxa"/>
            <w:vAlign w:val="center"/>
          </w:tcPr>
          <w:p w14:paraId="3294F78E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A1F25" w14:paraId="52F55A94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p w14:paraId="02A2E8CC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954" w:type="dxa"/>
            <w:vAlign w:val="center"/>
          </w:tcPr>
          <w:p w14:paraId="3EC9989A" w14:textId="2ADA89D5" w:rsidR="00FA1F25" w:rsidRDefault="00002DF8" w:rsidP="00B3728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340" w:type="dxa"/>
            <w:vAlign w:val="center"/>
          </w:tcPr>
          <w:p w14:paraId="56F01228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比例增益</w:t>
            </w:r>
          </w:p>
        </w:tc>
      </w:tr>
      <w:tr w:rsidR="00FA1F25" w14:paraId="474658E1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p w14:paraId="29A0B5A3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954" w:type="dxa"/>
            <w:vAlign w:val="center"/>
          </w:tcPr>
          <w:p w14:paraId="1564E7D6" w14:textId="0A952193" w:rsidR="00FA1F25" w:rsidRDefault="00002DF8" w:rsidP="00B3728E">
            <w:pPr>
              <w:jc w:val="center"/>
            </w:pPr>
            <w:r>
              <w:rPr>
                <w:rFonts w:hint="eastAsia"/>
              </w:rPr>
              <w:t>130</w:t>
            </w:r>
          </w:p>
        </w:tc>
        <w:tc>
          <w:tcPr>
            <w:tcW w:w="2340" w:type="dxa"/>
            <w:vAlign w:val="center"/>
          </w:tcPr>
          <w:p w14:paraId="5B1ECA5E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积分时间（秒）</w:t>
            </w:r>
          </w:p>
        </w:tc>
      </w:tr>
      <w:tr w:rsidR="00FA1F25" w14:paraId="73AA4F24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p w14:paraId="70CC9CAE" w14:textId="77777777" w:rsidR="00FA1F25" w:rsidRDefault="00FA1F25" w:rsidP="00B3728E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  <w:tc>
          <w:tcPr>
            <w:tcW w:w="954" w:type="dxa"/>
            <w:vAlign w:val="center"/>
          </w:tcPr>
          <w:p w14:paraId="74A3C375" w14:textId="1635BFAC" w:rsidR="00FA1F25" w:rsidRDefault="00002DF8" w:rsidP="00B3728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40" w:type="dxa"/>
            <w:vAlign w:val="center"/>
          </w:tcPr>
          <w:p w14:paraId="498E5045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微分时间（秒）</w:t>
            </w:r>
          </w:p>
        </w:tc>
      </w:tr>
      <w:tr w:rsidR="00FA1F25" w14:paraId="4AD07C37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p w14:paraId="67AAFD61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SP</w:t>
            </w:r>
          </w:p>
        </w:tc>
        <w:tc>
          <w:tcPr>
            <w:tcW w:w="954" w:type="dxa"/>
            <w:vAlign w:val="center"/>
          </w:tcPr>
          <w:p w14:paraId="25C76242" w14:textId="50CBDD48" w:rsidR="00FA1F25" w:rsidRDefault="00002DF8" w:rsidP="00B3728E">
            <w:pPr>
              <w:jc w:val="center"/>
            </w:pPr>
            <w:r>
              <w:rPr>
                <w:rFonts w:hint="eastAsia"/>
              </w:rPr>
              <w:t>50/150</w:t>
            </w:r>
          </w:p>
        </w:tc>
        <w:tc>
          <w:tcPr>
            <w:tcW w:w="2340" w:type="dxa"/>
            <w:vAlign w:val="center"/>
          </w:tcPr>
          <w:p w14:paraId="6D1146A8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设定值</w:t>
            </w:r>
          </w:p>
        </w:tc>
      </w:tr>
      <w:tr w:rsidR="00FA1F25" w14:paraId="13C83420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p w14:paraId="3B3A1416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）</w:t>
            </w:r>
          </w:p>
        </w:tc>
        <w:tc>
          <w:tcPr>
            <w:tcW w:w="954" w:type="dxa"/>
            <w:vAlign w:val="center"/>
          </w:tcPr>
          <w:p w14:paraId="3E215C1F" w14:textId="3571EB73" w:rsidR="00FA1F25" w:rsidRDefault="00FA1F25" w:rsidP="00B3728E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2C1426" wp14:editId="7503FF9C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38735</wp:posOffset>
                      </wp:positionV>
                      <wp:extent cx="525780" cy="130810"/>
                      <wp:effectExtent l="5715" t="10160" r="11430" b="11430"/>
                      <wp:wrapNone/>
                      <wp:docPr id="1781136318" name="直接箭头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780" cy="130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825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" o:spid="_x0000_s1026" type="#_x0000_t32" style="position:absolute;margin-left:-.45pt;margin-top:3.05pt;width:41.4pt;height:1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"/>
                  </w:pict>
                </mc:Fallback>
              </mc:AlternateContent>
            </w:r>
          </w:p>
        </w:tc>
        <w:tc>
          <w:tcPr>
            <w:tcW w:w="2340" w:type="dxa"/>
            <w:vAlign w:val="center"/>
          </w:tcPr>
          <w:p w14:paraId="20D7D9B8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输出值（</w:t>
            </w:r>
            <w:r>
              <w:rPr>
                <w:rFonts w:hint="eastAsia"/>
              </w:rPr>
              <w:t>0~1000</w:t>
            </w:r>
            <w:r>
              <w:rPr>
                <w:rFonts w:hint="eastAsia"/>
              </w:rPr>
              <w:t>）</w:t>
            </w:r>
          </w:p>
        </w:tc>
      </w:tr>
      <w:tr w:rsidR="00FA1F25" w14:paraId="1EE728C9" w14:textId="77777777" w:rsidTr="00B3728E">
        <w:trPr>
          <w:trHeight w:val="340"/>
          <w:jc w:val="center"/>
        </w:trPr>
        <w:tc>
          <w:tcPr>
            <w:tcW w:w="954" w:type="dxa"/>
            <w:vAlign w:val="center"/>
          </w:tcPr>
          <w:p w14:paraId="02845FA8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PV</w:t>
            </w:r>
          </w:p>
        </w:tc>
        <w:tc>
          <w:tcPr>
            <w:tcW w:w="954" w:type="dxa"/>
            <w:vAlign w:val="center"/>
          </w:tcPr>
          <w:p w14:paraId="2B567411" w14:textId="37F4F1DE" w:rsidR="00FA1F25" w:rsidRDefault="00002DF8" w:rsidP="00B3728E">
            <w:pPr>
              <w:jc w:val="center"/>
            </w:pPr>
            <w:r>
              <w:rPr>
                <w:rFonts w:hint="eastAsia"/>
              </w:rPr>
              <w:t>变化</w:t>
            </w:r>
          </w:p>
        </w:tc>
        <w:tc>
          <w:tcPr>
            <w:tcW w:w="2340" w:type="dxa"/>
            <w:vAlign w:val="center"/>
          </w:tcPr>
          <w:p w14:paraId="2EAF8752" w14:textId="77777777" w:rsidR="00FA1F25" w:rsidRDefault="00FA1F25" w:rsidP="00B3728E">
            <w:pPr>
              <w:jc w:val="center"/>
            </w:pPr>
            <w:r>
              <w:rPr>
                <w:rFonts w:hint="eastAsia"/>
              </w:rPr>
              <w:t>过程值</w:t>
            </w:r>
          </w:p>
        </w:tc>
      </w:tr>
    </w:tbl>
    <w:p w14:paraId="1C6FC2D1" w14:textId="6D148757" w:rsidR="00FA1F25" w:rsidRDefault="00FA1F25" w:rsidP="00002DF8">
      <w:pPr>
        <w:tabs>
          <w:tab w:val="left" w:pos="900"/>
        </w:tabs>
        <w:spacing w:line="320" w:lineRule="exact"/>
        <w:ind w:firstLineChars="200" w:firstLine="420"/>
        <w:rPr>
          <w:rFonts w:ascii="宋体"/>
        </w:rPr>
      </w:pPr>
      <w:bookmarkStart w:id="11" w:name="_Hlk197527000"/>
      <w:r>
        <w:rPr>
          <w:rFonts w:ascii="宋体" w:hint="eastAsia"/>
        </w:rPr>
        <w:t>阶跃响应曲线记录：</w:t>
      </w:r>
    </w:p>
    <w:p w14:paraId="617F7AE4" w14:textId="40F79C00" w:rsidR="00002DF8" w:rsidRDefault="00002DF8" w:rsidP="00002DF8">
      <w:pPr>
        <w:tabs>
          <w:tab w:val="left" w:pos="900"/>
        </w:tabs>
        <w:spacing w:line="320" w:lineRule="exact"/>
        <w:ind w:firstLineChars="200" w:firstLine="420"/>
        <w:rPr>
          <w:rFonts w:ascii="宋体" w:hint="eastAsia"/>
        </w:rPr>
      </w:pPr>
      <w:r>
        <w:rPr>
          <w:rFonts w:ascii="宋体" w:hint="eastAsia"/>
        </w:rPr>
        <w:t>设定值由50阶跃至150，</w:t>
      </w:r>
      <w:proofErr w:type="gramStart"/>
      <w:r>
        <w:rPr>
          <w:rFonts w:ascii="宋体" w:hint="eastAsia"/>
        </w:rPr>
        <w:t>待压力</w:t>
      </w:r>
      <w:proofErr w:type="gramEnd"/>
      <w:r>
        <w:rPr>
          <w:rFonts w:ascii="宋体" w:hint="eastAsia"/>
        </w:rPr>
        <w:t>稳定在目标值±5%范围内后，再将设定值由150阶跃至50。红色曲线代表设定值，绿色曲线代表过程值（即液位的实际值），蓝色曲线代表</w:t>
      </w:r>
      <w:proofErr w:type="gramStart"/>
      <w:r>
        <w:rPr>
          <w:rFonts w:ascii="宋体" w:hint="eastAsia"/>
        </w:rPr>
        <w:t>控制量开度</w:t>
      </w:r>
      <w:proofErr w:type="gramEnd"/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ascii="宋体" w:hint="eastAsia"/>
        </w:rPr>
        <w:t>。</w:t>
      </w:r>
    </w:p>
    <w:p w14:paraId="3EE20CEB" w14:textId="01910666" w:rsidR="00002DF8" w:rsidRPr="00B662A9" w:rsidRDefault="00002DF8" w:rsidP="00002DF8">
      <w:pPr>
        <w:tabs>
          <w:tab w:val="left" w:pos="900"/>
        </w:tabs>
        <w:ind w:firstLineChars="200" w:firstLine="420"/>
        <w:jc w:val="center"/>
        <w:rPr>
          <w:rFonts w:ascii="宋体" w:hint="eastAsia"/>
        </w:rPr>
      </w:pPr>
      <w:r>
        <w:rPr>
          <w:rFonts w:ascii="宋体" w:hint="eastAsia"/>
          <w:noProof/>
        </w:rPr>
        <w:drawing>
          <wp:inline distT="0" distB="0" distL="0" distR="0" wp14:anchorId="30D55B0C" wp14:editId="2A06125D">
            <wp:extent cx="3552092" cy="2576421"/>
            <wp:effectExtent l="0" t="0" r="0" b="0"/>
            <wp:docPr id="3070770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43" cy="259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06917CEF" w14:textId="77777777" w:rsidR="00FA1F25" w:rsidRDefault="00FA1F25" w:rsidP="00FA1F25">
      <w:pPr>
        <w:tabs>
          <w:tab w:val="left" w:pos="900"/>
        </w:tabs>
        <w:ind w:firstLineChars="180" w:firstLine="432"/>
      </w:pPr>
      <w:r>
        <w:rPr>
          <w:rFonts w:eastAsia="幼圆" w:hint="eastAsia"/>
          <w:sz w:val="24"/>
        </w:rPr>
        <w:lastRenderedPageBreak/>
        <w:t>五、试验报告：</w:t>
      </w:r>
      <w:bookmarkStart w:id="12" w:name="_Hlk197527011"/>
      <w:r w:rsidRPr="00B662A9">
        <w:rPr>
          <w:rFonts w:hint="eastAsia"/>
        </w:rPr>
        <w:t>对两响应曲线做动态指标分析。</w:t>
      </w:r>
      <w:bookmarkEnd w:id="12"/>
    </w:p>
    <w:p w14:paraId="5116A8C7" w14:textId="1C9E0AD4" w:rsidR="00002DF8" w:rsidRDefault="00002DF8" w:rsidP="00FA1F25">
      <w:pPr>
        <w:tabs>
          <w:tab w:val="left" w:pos="900"/>
        </w:tabs>
        <w:ind w:firstLineChars="180" w:firstLine="378"/>
      </w:pPr>
      <w:r>
        <w:rPr>
          <w:rFonts w:hint="eastAsia"/>
        </w:rPr>
        <w:t>由于无法获取精确的原始数据，根据响应曲线进行各动态指标估算。</w:t>
      </w:r>
    </w:p>
    <w:p w14:paraId="323B46AB" w14:textId="1E711DA9" w:rsidR="00002DF8" w:rsidRDefault="00002DF8" w:rsidP="00FA1F25">
      <w:pPr>
        <w:tabs>
          <w:tab w:val="left" w:pos="900"/>
        </w:tabs>
        <w:ind w:firstLineChars="180" w:firstLine="378"/>
      </w:pPr>
      <w:r>
        <w:rPr>
          <w:rFonts w:hint="eastAsia"/>
        </w:rPr>
        <w:t>设定值由</w:t>
      </w:r>
      <w:r>
        <w:rPr>
          <w:rFonts w:hint="eastAsia"/>
        </w:rPr>
        <w:t>50</w:t>
      </w:r>
      <w:r>
        <w:rPr>
          <w:rFonts w:hint="eastAsia"/>
        </w:rPr>
        <w:t>阶跃至</w:t>
      </w:r>
      <w:r>
        <w:rPr>
          <w:rFonts w:hint="eastAsia"/>
        </w:rPr>
        <w:t>150</w:t>
      </w:r>
      <w:r>
        <w:rPr>
          <w:rFonts w:hint="eastAsia"/>
        </w:rPr>
        <w:t>的正阶跃响应曲线性能指标：</w:t>
      </w:r>
    </w:p>
    <w:tbl>
      <w:tblPr>
        <w:tblStyle w:val="af2"/>
        <w:tblW w:w="8642" w:type="dxa"/>
        <w:jc w:val="center"/>
        <w:tblLook w:val="04A0" w:firstRow="1" w:lastRow="0" w:firstColumn="1" w:lastColumn="0" w:noHBand="0" w:noVBand="1"/>
      </w:tblPr>
      <w:tblGrid>
        <w:gridCol w:w="1307"/>
        <w:gridCol w:w="1161"/>
        <w:gridCol w:w="1167"/>
        <w:gridCol w:w="1163"/>
        <w:gridCol w:w="1163"/>
        <w:gridCol w:w="1172"/>
        <w:gridCol w:w="1509"/>
      </w:tblGrid>
      <w:tr w:rsidR="00002DF8" w14:paraId="3A9ED617" w14:textId="77777777" w:rsidTr="00225958">
        <w:trPr>
          <w:jc w:val="center"/>
        </w:trPr>
        <w:tc>
          <w:tcPr>
            <w:tcW w:w="1307" w:type="dxa"/>
          </w:tcPr>
          <w:p w14:paraId="525AAF7E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设定稳态值</w:t>
            </w:r>
          </w:p>
        </w:tc>
        <w:tc>
          <w:tcPr>
            <w:tcW w:w="1161" w:type="dxa"/>
          </w:tcPr>
          <w:p w14:paraId="7C0B586D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稳态误差</w:t>
            </w:r>
          </w:p>
        </w:tc>
        <w:tc>
          <w:tcPr>
            <w:tcW w:w="1167" w:type="dxa"/>
          </w:tcPr>
          <w:p w14:paraId="5A4C54C4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上升时间</w:t>
            </w:r>
          </w:p>
        </w:tc>
        <w:tc>
          <w:tcPr>
            <w:tcW w:w="1163" w:type="dxa"/>
          </w:tcPr>
          <w:p w14:paraId="3D5CD71E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峰值时间</w:t>
            </w:r>
          </w:p>
        </w:tc>
        <w:tc>
          <w:tcPr>
            <w:tcW w:w="1163" w:type="dxa"/>
          </w:tcPr>
          <w:p w14:paraId="2DB573AA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超调量</w:t>
            </w:r>
          </w:p>
        </w:tc>
        <w:tc>
          <w:tcPr>
            <w:tcW w:w="1172" w:type="dxa"/>
          </w:tcPr>
          <w:p w14:paraId="25230B77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调节时间</w:t>
            </w:r>
          </w:p>
        </w:tc>
        <w:tc>
          <w:tcPr>
            <w:tcW w:w="1509" w:type="dxa"/>
          </w:tcPr>
          <w:p w14:paraId="4C7B8B61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振荡次数</w:t>
            </w:r>
          </w:p>
        </w:tc>
      </w:tr>
      <w:tr w:rsidR="00002DF8" w14:paraId="5C48E04C" w14:textId="77777777" w:rsidTr="00225958">
        <w:trPr>
          <w:jc w:val="center"/>
        </w:trPr>
        <w:tc>
          <w:tcPr>
            <w:tcW w:w="1307" w:type="dxa"/>
          </w:tcPr>
          <w:p w14:paraId="7A87FFA0" w14:textId="6CD73E1D" w:rsidR="00002DF8" w:rsidRDefault="00002DF8" w:rsidP="00225958">
            <w:pPr>
              <w:jc w:val="center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0</w:t>
            </w:r>
          </w:p>
        </w:tc>
        <w:tc>
          <w:tcPr>
            <w:tcW w:w="1161" w:type="dxa"/>
          </w:tcPr>
          <w:p w14:paraId="4E66A412" w14:textId="77777777" w:rsidR="00002DF8" w:rsidRDefault="00002DF8" w:rsidP="00225958">
            <w:pPr>
              <w:jc w:val="center"/>
            </w:pPr>
            <w:r>
              <w:rPr>
                <w:rFonts w:hint="eastAsia"/>
              </w:rPr>
              <w:t>近似为</w:t>
            </w:r>
            <w:r>
              <w:rPr>
                <w:rFonts w:hint="eastAsia"/>
              </w:rPr>
              <w:t>0</w:t>
            </w:r>
          </w:p>
        </w:tc>
        <w:tc>
          <w:tcPr>
            <w:tcW w:w="1167" w:type="dxa"/>
          </w:tcPr>
          <w:p w14:paraId="52B1259F" w14:textId="42C210AA" w:rsidR="00002DF8" w:rsidRDefault="00002DF8" w:rsidP="00225958">
            <w:pPr>
              <w:jc w:val="center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s</w:t>
            </w:r>
          </w:p>
        </w:tc>
        <w:tc>
          <w:tcPr>
            <w:tcW w:w="1163" w:type="dxa"/>
          </w:tcPr>
          <w:p w14:paraId="70FD31DB" w14:textId="0AA7D2BA" w:rsidR="00002DF8" w:rsidRDefault="00002DF8" w:rsidP="002259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145s</w:t>
            </w:r>
          </w:p>
        </w:tc>
        <w:tc>
          <w:tcPr>
            <w:tcW w:w="1163" w:type="dxa"/>
          </w:tcPr>
          <w:p w14:paraId="3C6E8A62" w14:textId="2A24DF85" w:rsidR="00002DF8" w:rsidRDefault="00B45F71" w:rsidP="002259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16%</w:t>
            </w:r>
          </w:p>
        </w:tc>
        <w:tc>
          <w:tcPr>
            <w:tcW w:w="1172" w:type="dxa"/>
          </w:tcPr>
          <w:p w14:paraId="77BF93C3" w14:textId="4EDDCBE0" w:rsidR="00002DF8" w:rsidRDefault="00B45F71" w:rsidP="00225958">
            <w:pPr>
              <w:jc w:val="center"/>
            </w:pPr>
            <w:r>
              <w:rPr>
                <w:rFonts w:hint="eastAsia"/>
              </w:rPr>
              <w:t>313</w:t>
            </w:r>
            <w:r w:rsidR="00002DF8">
              <w:rPr>
                <w:rFonts w:hint="eastAsia"/>
              </w:rPr>
              <w:t>s</w:t>
            </w:r>
          </w:p>
        </w:tc>
        <w:tc>
          <w:tcPr>
            <w:tcW w:w="1509" w:type="dxa"/>
          </w:tcPr>
          <w:p w14:paraId="0B948898" w14:textId="70716CFF" w:rsidR="00002DF8" w:rsidRDefault="00B45F71" w:rsidP="00225958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</w:tr>
    </w:tbl>
    <w:p w14:paraId="327EAA2F" w14:textId="0C264ED2" w:rsidR="00002DF8" w:rsidRDefault="00002DF8" w:rsidP="00FA1F25">
      <w:pPr>
        <w:tabs>
          <w:tab w:val="left" w:pos="900"/>
        </w:tabs>
        <w:ind w:firstLineChars="180" w:firstLine="378"/>
      </w:pPr>
      <w:r>
        <w:rPr>
          <w:rFonts w:hint="eastAsia"/>
        </w:rPr>
        <w:t>设定值由</w:t>
      </w:r>
      <w:r>
        <w:rPr>
          <w:rFonts w:hint="eastAsia"/>
        </w:rPr>
        <w:t>150</w:t>
      </w:r>
      <w:r>
        <w:rPr>
          <w:rFonts w:hint="eastAsia"/>
        </w:rPr>
        <w:t>阶跃至</w:t>
      </w:r>
      <w:r>
        <w:rPr>
          <w:rFonts w:hint="eastAsia"/>
        </w:rPr>
        <w:t>50</w:t>
      </w:r>
      <w:r>
        <w:rPr>
          <w:rFonts w:hint="eastAsia"/>
        </w:rPr>
        <w:t>的负阶跃响应曲线性能指标：</w:t>
      </w:r>
    </w:p>
    <w:tbl>
      <w:tblPr>
        <w:tblStyle w:val="af2"/>
        <w:tblW w:w="8642" w:type="dxa"/>
        <w:jc w:val="center"/>
        <w:tblLook w:val="04A0" w:firstRow="1" w:lastRow="0" w:firstColumn="1" w:lastColumn="0" w:noHBand="0" w:noVBand="1"/>
      </w:tblPr>
      <w:tblGrid>
        <w:gridCol w:w="1304"/>
        <w:gridCol w:w="1161"/>
        <w:gridCol w:w="1166"/>
        <w:gridCol w:w="1163"/>
        <w:gridCol w:w="1163"/>
        <w:gridCol w:w="1176"/>
        <w:gridCol w:w="1509"/>
      </w:tblGrid>
      <w:tr w:rsidR="00B45F71" w14:paraId="520B209E" w14:textId="77777777" w:rsidTr="00225958">
        <w:trPr>
          <w:jc w:val="center"/>
        </w:trPr>
        <w:tc>
          <w:tcPr>
            <w:tcW w:w="1304" w:type="dxa"/>
          </w:tcPr>
          <w:p w14:paraId="52F33CCB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设定稳态值</w:t>
            </w:r>
          </w:p>
        </w:tc>
        <w:tc>
          <w:tcPr>
            <w:tcW w:w="1161" w:type="dxa"/>
          </w:tcPr>
          <w:p w14:paraId="58702750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稳态误差</w:t>
            </w:r>
          </w:p>
        </w:tc>
        <w:tc>
          <w:tcPr>
            <w:tcW w:w="1166" w:type="dxa"/>
          </w:tcPr>
          <w:p w14:paraId="61A113A8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下降时间</w:t>
            </w:r>
          </w:p>
        </w:tc>
        <w:tc>
          <w:tcPr>
            <w:tcW w:w="1163" w:type="dxa"/>
          </w:tcPr>
          <w:p w14:paraId="7B7C0DF0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峰值时间</w:t>
            </w:r>
          </w:p>
        </w:tc>
        <w:tc>
          <w:tcPr>
            <w:tcW w:w="1163" w:type="dxa"/>
          </w:tcPr>
          <w:p w14:paraId="612F9E55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超调量</w:t>
            </w:r>
          </w:p>
        </w:tc>
        <w:tc>
          <w:tcPr>
            <w:tcW w:w="1176" w:type="dxa"/>
          </w:tcPr>
          <w:p w14:paraId="7AD9FD50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调节时间</w:t>
            </w:r>
          </w:p>
        </w:tc>
        <w:tc>
          <w:tcPr>
            <w:tcW w:w="1509" w:type="dxa"/>
          </w:tcPr>
          <w:p w14:paraId="17D7EF7C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振荡次数</w:t>
            </w:r>
          </w:p>
        </w:tc>
      </w:tr>
      <w:tr w:rsidR="00B45F71" w14:paraId="2DD53DF8" w14:textId="77777777" w:rsidTr="00225958">
        <w:trPr>
          <w:jc w:val="center"/>
        </w:trPr>
        <w:tc>
          <w:tcPr>
            <w:tcW w:w="1304" w:type="dxa"/>
          </w:tcPr>
          <w:p w14:paraId="0FEF2C90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161" w:type="dxa"/>
          </w:tcPr>
          <w:p w14:paraId="658D37A6" w14:textId="77777777" w:rsidR="00B45F71" w:rsidRDefault="00B45F71" w:rsidP="00225958">
            <w:pPr>
              <w:jc w:val="center"/>
            </w:pPr>
            <w:r>
              <w:rPr>
                <w:rFonts w:hint="eastAsia"/>
              </w:rPr>
              <w:t>近似为</w:t>
            </w:r>
            <w:r>
              <w:rPr>
                <w:rFonts w:hint="eastAsia"/>
              </w:rPr>
              <w:t>0</w:t>
            </w:r>
          </w:p>
        </w:tc>
        <w:tc>
          <w:tcPr>
            <w:tcW w:w="1166" w:type="dxa"/>
          </w:tcPr>
          <w:p w14:paraId="759CC301" w14:textId="001CB7E0" w:rsidR="00B45F71" w:rsidRDefault="00B45F71" w:rsidP="00225958">
            <w:pPr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s</w:t>
            </w:r>
          </w:p>
        </w:tc>
        <w:tc>
          <w:tcPr>
            <w:tcW w:w="1163" w:type="dxa"/>
          </w:tcPr>
          <w:p w14:paraId="19F1E631" w14:textId="7E97B16C" w:rsidR="00B45F71" w:rsidRDefault="00B45F71" w:rsidP="002259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115s</w:t>
            </w:r>
          </w:p>
        </w:tc>
        <w:tc>
          <w:tcPr>
            <w:tcW w:w="1163" w:type="dxa"/>
          </w:tcPr>
          <w:p w14:paraId="70189DC5" w14:textId="607A0F14" w:rsidR="00B45F71" w:rsidRDefault="00B45F71" w:rsidP="002259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44%</w:t>
            </w:r>
          </w:p>
        </w:tc>
        <w:tc>
          <w:tcPr>
            <w:tcW w:w="1176" w:type="dxa"/>
          </w:tcPr>
          <w:p w14:paraId="7B6982B4" w14:textId="643D6661" w:rsidR="00B45F71" w:rsidRDefault="00B37448" w:rsidP="00225958">
            <w:pPr>
              <w:jc w:val="center"/>
            </w:pPr>
            <w:r>
              <w:rPr>
                <w:rFonts w:hint="eastAsia"/>
              </w:rPr>
              <w:t>44</w:t>
            </w:r>
            <w:r w:rsidR="00B45F71">
              <w:rPr>
                <w:rFonts w:hint="eastAsia"/>
              </w:rPr>
              <w:t>7</w:t>
            </w:r>
            <w:r w:rsidR="00B45F71">
              <w:rPr>
                <w:rFonts w:hint="eastAsia"/>
              </w:rPr>
              <w:t>s</w:t>
            </w:r>
          </w:p>
        </w:tc>
        <w:tc>
          <w:tcPr>
            <w:tcW w:w="1509" w:type="dxa"/>
          </w:tcPr>
          <w:p w14:paraId="19C82236" w14:textId="103E5C43" w:rsidR="00B45F71" w:rsidRDefault="00B37448" w:rsidP="00225958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</w:tr>
    </w:tbl>
    <w:p w14:paraId="4006181E" w14:textId="77777777" w:rsidR="00B37448" w:rsidRDefault="00B37448" w:rsidP="00B37448">
      <w:pPr>
        <w:ind w:firstLineChars="200" w:firstLine="420"/>
      </w:pPr>
      <w:r>
        <w:rPr>
          <w:rFonts w:hint="eastAsia"/>
        </w:rPr>
        <w:t>说明：</w:t>
      </w:r>
      <w:proofErr w:type="gramStart"/>
      <w:r>
        <w:rPr>
          <w:rFonts w:hint="eastAsia"/>
        </w:rPr>
        <w:t>上升时间</w:t>
      </w:r>
      <w:r w:rsidRPr="00495DA6">
        <w:rPr>
          <w:rFonts w:hint="eastAsia"/>
        </w:rPr>
        <w:t>上升时间</w:t>
      </w:r>
      <w:proofErr w:type="gramEnd"/>
      <w:r w:rsidRPr="00495DA6">
        <w:rPr>
          <w:rFonts w:hint="eastAsia"/>
        </w:rPr>
        <w:t>按</w:t>
      </w:r>
      <w:r w:rsidRPr="00495DA6">
        <w:rPr>
          <w:rFonts w:hint="eastAsia"/>
        </w:rPr>
        <w:t xml:space="preserve"> 10%</w:t>
      </w:r>
      <w:r w:rsidRPr="00495DA6">
        <w:rPr>
          <w:rFonts w:hint="eastAsia"/>
        </w:rPr>
        <w:t>～</w:t>
      </w:r>
      <w:r w:rsidRPr="00495DA6">
        <w:rPr>
          <w:rFonts w:hint="eastAsia"/>
        </w:rPr>
        <w:t xml:space="preserve">90% </w:t>
      </w:r>
      <w:r w:rsidRPr="00495DA6">
        <w:rPr>
          <w:rFonts w:hint="eastAsia"/>
        </w:rPr>
        <w:t>变化范围估算</w:t>
      </w:r>
      <w:r>
        <w:rPr>
          <w:rFonts w:hint="eastAsia"/>
        </w:rPr>
        <w:t>，</w:t>
      </w:r>
      <w:r w:rsidRPr="00495DA6">
        <w:rPr>
          <w:rFonts w:hint="eastAsia"/>
        </w:rPr>
        <w:t>调节时间</w:t>
      </w:r>
      <w:proofErr w:type="gramStart"/>
      <w:r w:rsidRPr="00495DA6">
        <w:rPr>
          <w:rFonts w:hint="eastAsia"/>
        </w:rPr>
        <w:t>按进入</w:t>
      </w:r>
      <w:proofErr w:type="gramEnd"/>
      <w:r w:rsidRPr="00495DA6">
        <w:rPr>
          <w:rFonts w:hint="eastAsia"/>
        </w:rPr>
        <w:t>并保持在稳态值</w:t>
      </w:r>
      <w:r w:rsidRPr="00495DA6">
        <w:rPr>
          <w:rFonts w:hint="eastAsia"/>
        </w:rPr>
        <w:t xml:space="preserve"> </w:t>
      </w:r>
      <w:r w:rsidRPr="00495DA6">
        <w:rPr>
          <w:rFonts w:hint="eastAsia"/>
        </w:rPr>
        <w:t>±</w:t>
      </w:r>
      <w:r w:rsidRPr="00495DA6">
        <w:rPr>
          <w:rFonts w:hint="eastAsia"/>
        </w:rPr>
        <w:t xml:space="preserve">5% </w:t>
      </w:r>
      <w:r w:rsidRPr="00495DA6">
        <w:rPr>
          <w:rFonts w:hint="eastAsia"/>
        </w:rPr>
        <w:t>范围内估算</w:t>
      </w:r>
      <w:r>
        <w:rPr>
          <w:rFonts w:hint="eastAsia"/>
        </w:rPr>
        <w:t>。</w:t>
      </w:r>
    </w:p>
    <w:p w14:paraId="2B52DAC5" w14:textId="2700C07A" w:rsidR="00002DF8" w:rsidRDefault="00B37448" w:rsidP="00FA1F25">
      <w:pPr>
        <w:tabs>
          <w:tab w:val="left" w:pos="900"/>
        </w:tabs>
        <w:ind w:firstLineChars="180" w:firstLine="378"/>
      </w:pPr>
      <w:r w:rsidRPr="00B37448">
        <w:rPr>
          <w:rFonts w:hint="eastAsia"/>
        </w:rPr>
        <w:t>从正阶跃响应来看，系统能够较好地跟踪目标值，超调量</w:t>
      </w:r>
      <w:r w:rsidRPr="00B37448">
        <w:rPr>
          <w:rFonts w:hint="eastAsia"/>
        </w:rPr>
        <w:t>16%</w:t>
      </w:r>
      <w:r w:rsidRPr="00B37448">
        <w:rPr>
          <w:rFonts w:hint="eastAsia"/>
        </w:rPr>
        <w:t>处于合理范围，调节时间</w:t>
      </w:r>
      <w:r w:rsidRPr="00B37448">
        <w:rPr>
          <w:rFonts w:hint="eastAsia"/>
        </w:rPr>
        <w:t>313s</w:t>
      </w:r>
      <w:r w:rsidRPr="00B37448">
        <w:rPr>
          <w:rFonts w:hint="eastAsia"/>
        </w:rPr>
        <w:t>，整体动态性能较为稳定。而在负阶跃响应中，系统</w:t>
      </w:r>
      <w:proofErr w:type="gramStart"/>
      <w:r w:rsidRPr="00B37448">
        <w:rPr>
          <w:rFonts w:hint="eastAsia"/>
        </w:rPr>
        <w:t>在阶跃后</w:t>
      </w:r>
      <w:proofErr w:type="gramEnd"/>
      <w:r w:rsidRPr="00B37448">
        <w:rPr>
          <w:rFonts w:hint="eastAsia"/>
        </w:rPr>
        <w:t>约</w:t>
      </w:r>
      <w:r w:rsidRPr="00B37448">
        <w:rPr>
          <w:rFonts w:hint="eastAsia"/>
        </w:rPr>
        <w:t>200s</w:t>
      </w:r>
      <w:r w:rsidRPr="00B37448">
        <w:rPr>
          <w:rFonts w:hint="eastAsia"/>
        </w:rPr>
        <w:t>内控制量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B37448">
        <w:rPr>
          <w:rFonts w:hint="eastAsia"/>
        </w:rPr>
        <w:t>持续为</w:t>
      </w:r>
      <w:r w:rsidRPr="00B37448">
        <w:rPr>
          <w:rFonts w:hint="eastAsia"/>
        </w:rPr>
        <w:t>0</w:t>
      </w:r>
      <w:r w:rsidRPr="00B37448">
        <w:rPr>
          <w:rFonts w:hint="eastAsia"/>
        </w:rPr>
        <w:t>，存在明显的控制延迟，导致下降时间延长至</w:t>
      </w:r>
      <w:r w:rsidRPr="00B37448">
        <w:rPr>
          <w:rFonts w:hint="eastAsia"/>
        </w:rPr>
        <w:t>81s</w:t>
      </w:r>
      <w:r w:rsidRPr="00B37448">
        <w:rPr>
          <w:rFonts w:hint="eastAsia"/>
        </w:rPr>
        <w:t>，超调量显著增大至</w:t>
      </w:r>
      <w:r w:rsidRPr="00B37448">
        <w:rPr>
          <w:rFonts w:hint="eastAsia"/>
        </w:rPr>
        <w:t>44%</w:t>
      </w:r>
      <w:r w:rsidRPr="00B37448">
        <w:rPr>
          <w:rFonts w:hint="eastAsia"/>
        </w:rPr>
        <w:t>，调节时间更是延长至</w:t>
      </w:r>
      <w:r w:rsidRPr="00B37448">
        <w:rPr>
          <w:rFonts w:hint="eastAsia"/>
        </w:rPr>
        <w:t>447s</w:t>
      </w:r>
      <w:r w:rsidRPr="00B37448">
        <w:rPr>
          <w:rFonts w:hint="eastAsia"/>
        </w:rPr>
        <w:t>。这种差异表明，系统在</w:t>
      </w:r>
      <w:proofErr w:type="gramStart"/>
      <w:r w:rsidRPr="00B37448">
        <w:rPr>
          <w:rFonts w:hint="eastAsia"/>
        </w:rPr>
        <w:t>负阶跃</w:t>
      </w:r>
      <w:proofErr w:type="gramEnd"/>
      <w:r w:rsidRPr="00B37448">
        <w:rPr>
          <w:rFonts w:hint="eastAsia"/>
        </w:rPr>
        <w:t>工况下的动态响应特性劣于</w:t>
      </w:r>
      <w:proofErr w:type="gramStart"/>
      <w:r w:rsidRPr="00B37448">
        <w:rPr>
          <w:rFonts w:hint="eastAsia"/>
        </w:rPr>
        <w:t>正阶跃</w:t>
      </w:r>
      <w:proofErr w:type="gramEnd"/>
      <w:r w:rsidRPr="00B37448">
        <w:rPr>
          <w:rFonts w:hint="eastAsia"/>
        </w:rPr>
        <w:t>工况，当前控制参数对负向变化的适应性不足，仍有优化空间。</w:t>
      </w:r>
      <w:r>
        <w:rPr>
          <w:rFonts w:hint="eastAsia"/>
        </w:rPr>
        <w:t>但是，最终两种阶跃响应稳态误差均近似为</w:t>
      </w:r>
      <w:r>
        <w:rPr>
          <w:rFonts w:hint="eastAsia"/>
        </w:rPr>
        <w:t>0</w:t>
      </w:r>
      <w:r>
        <w:rPr>
          <w:rFonts w:hint="eastAsia"/>
        </w:rPr>
        <w:t>。总的来看，该压力单闭环系统</w:t>
      </w:r>
      <w:proofErr w:type="gramStart"/>
      <w:r>
        <w:rPr>
          <w:rFonts w:hint="eastAsia"/>
        </w:rPr>
        <w:t>在正阶跃下</w:t>
      </w:r>
      <w:proofErr w:type="gramEnd"/>
      <w:r>
        <w:rPr>
          <w:rFonts w:hint="eastAsia"/>
        </w:rPr>
        <w:t>能够较好地实现较为稳定的控制效果，但</w:t>
      </w:r>
      <w:proofErr w:type="gramStart"/>
      <w:r>
        <w:rPr>
          <w:rFonts w:hint="eastAsia"/>
        </w:rPr>
        <w:t>在负阶跃下</w:t>
      </w:r>
      <w:proofErr w:type="gramEnd"/>
      <w:r>
        <w:rPr>
          <w:rFonts w:hint="eastAsia"/>
        </w:rPr>
        <w:t>仍有提升空间。</w:t>
      </w:r>
    </w:p>
    <w:p w14:paraId="72283EA5" w14:textId="77777777" w:rsidR="006E2CF1" w:rsidRDefault="006E2CF1" w:rsidP="00FA1F25">
      <w:pPr>
        <w:tabs>
          <w:tab w:val="left" w:pos="900"/>
        </w:tabs>
        <w:ind w:firstLineChars="180" w:firstLine="378"/>
        <w:rPr>
          <w:rFonts w:hint="eastAsia"/>
        </w:rPr>
      </w:pPr>
    </w:p>
    <w:p w14:paraId="4D64F614" w14:textId="0FD7DF78" w:rsidR="006E2CF1" w:rsidRDefault="00B37448" w:rsidP="00FA1F25">
      <w:pPr>
        <w:tabs>
          <w:tab w:val="left" w:pos="900"/>
        </w:tabs>
        <w:ind w:firstLineChars="180" w:firstLine="360"/>
        <w:rPr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>*</w:t>
      </w:r>
      <w:r w:rsidR="006E2CF1">
        <w:rPr>
          <w:rFonts w:hint="eastAsia"/>
          <w:color w:val="EE0000"/>
          <w:sz w:val="20"/>
          <w:szCs w:val="22"/>
        </w:rPr>
        <w:t>本组实验接入压力单闭环，设定压力单闭环参数如下：</w:t>
      </w:r>
    </w:p>
    <w:tbl>
      <w:tblPr>
        <w:tblStyle w:val="af2"/>
        <w:tblW w:w="4798" w:type="dxa"/>
        <w:jc w:val="center"/>
        <w:tblBorders>
          <w:top w:val="single" w:sz="4" w:space="0" w:color="EE0000"/>
          <w:left w:val="single" w:sz="4" w:space="0" w:color="EE0000"/>
          <w:bottom w:val="single" w:sz="4" w:space="0" w:color="EE0000"/>
          <w:right w:val="single" w:sz="4" w:space="0" w:color="EE0000"/>
          <w:insideH w:val="single" w:sz="4" w:space="0" w:color="EE0000"/>
          <w:insideV w:val="single" w:sz="4" w:space="0" w:color="EE0000"/>
        </w:tblBorders>
        <w:tblLook w:val="04A0" w:firstRow="1" w:lastRow="0" w:firstColumn="1" w:lastColumn="0" w:noHBand="0" w:noVBand="1"/>
      </w:tblPr>
      <w:tblGrid>
        <w:gridCol w:w="1307"/>
        <w:gridCol w:w="1161"/>
        <w:gridCol w:w="1167"/>
        <w:gridCol w:w="1163"/>
      </w:tblGrid>
      <w:tr w:rsidR="006E2CF1" w:rsidRPr="006E2CF1" w14:paraId="08560ED1" w14:textId="77777777" w:rsidTr="006E2CF1">
        <w:trPr>
          <w:jc w:val="center"/>
        </w:trPr>
        <w:tc>
          <w:tcPr>
            <w:tcW w:w="1307" w:type="dxa"/>
          </w:tcPr>
          <w:p w14:paraId="7A09E3B7" w14:textId="3BEDCAF6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K</w:t>
            </w:r>
            <w:r w:rsidRPr="006E2CF1">
              <w:rPr>
                <w:rFonts w:hint="eastAsia"/>
                <w:color w:val="EE0000"/>
                <w:vertAlign w:val="subscript"/>
              </w:rPr>
              <w:t>P</w:t>
            </w:r>
          </w:p>
        </w:tc>
        <w:tc>
          <w:tcPr>
            <w:tcW w:w="1161" w:type="dxa"/>
          </w:tcPr>
          <w:p w14:paraId="6871DF7C" w14:textId="0B710E05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T</w:t>
            </w:r>
            <w:r w:rsidRPr="006E2CF1">
              <w:rPr>
                <w:rFonts w:hint="eastAsia"/>
                <w:color w:val="EE0000"/>
                <w:vertAlign w:val="subscript"/>
              </w:rPr>
              <w:t>I</w:t>
            </w:r>
          </w:p>
        </w:tc>
        <w:tc>
          <w:tcPr>
            <w:tcW w:w="1167" w:type="dxa"/>
          </w:tcPr>
          <w:p w14:paraId="7397898F" w14:textId="7920AD67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T</w:t>
            </w:r>
            <w:r w:rsidRPr="006E2CF1">
              <w:rPr>
                <w:rFonts w:hint="eastAsia"/>
                <w:color w:val="EE0000"/>
                <w:vertAlign w:val="subscript"/>
              </w:rPr>
              <w:t>D</w:t>
            </w:r>
          </w:p>
        </w:tc>
        <w:tc>
          <w:tcPr>
            <w:tcW w:w="1163" w:type="dxa"/>
          </w:tcPr>
          <w:p w14:paraId="17853A46" w14:textId="7F18F3FC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U(k)</w:t>
            </w:r>
          </w:p>
        </w:tc>
      </w:tr>
      <w:tr w:rsidR="006E2CF1" w:rsidRPr="006E2CF1" w14:paraId="6524022B" w14:textId="77777777" w:rsidTr="006E2CF1">
        <w:trPr>
          <w:jc w:val="center"/>
        </w:trPr>
        <w:tc>
          <w:tcPr>
            <w:tcW w:w="1307" w:type="dxa"/>
          </w:tcPr>
          <w:p w14:paraId="68832AAF" w14:textId="12AB59C1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2</w:t>
            </w:r>
          </w:p>
        </w:tc>
        <w:tc>
          <w:tcPr>
            <w:tcW w:w="1161" w:type="dxa"/>
          </w:tcPr>
          <w:p w14:paraId="0B0975B6" w14:textId="608B82EB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9</w:t>
            </w:r>
          </w:p>
        </w:tc>
        <w:tc>
          <w:tcPr>
            <w:tcW w:w="1167" w:type="dxa"/>
          </w:tcPr>
          <w:p w14:paraId="04F57D72" w14:textId="7DA33B25" w:rsidR="006E2CF1" w:rsidRPr="006E2CF1" w:rsidRDefault="006E2CF1" w:rsidP="00225958">
            <w:pPr>
              <w:jc w:val="center"/>
              <w:rPr>
                <w:color w:val="EE0000"/>
              </w:rPr>
            </w:pPr>
            <w:r w:rsidRPr="006E2CF1">
              <w:rPr>
                <w:rFonts w:hint="eastAsia"/>
                <w:color w:val="EE0000"/>
              </w:rPr>
              <w:t>3</w:t>
            </w:r>
          </w:p>
        </w:tc>
        <w:tc>
          <w:tcPr>
            <w:tcW w:w="1163" w:type="dxa"/>
          </w:tcPr>
          <w:p w14:paraId="58DA25FA" w14:textId="0DEEB949" w:rsidR="006E2CF1" w:rsidRPr="006E2CF1" w:rsidRDefault="006E2CF1" w:rsidP="00225958">
            <w:pPr>
              <w:jc w:val="center"/>
              <w:rPr>
                <w:rFonts w:hint="eastAsia"/>
                <w:color w:val="EE0000"/>
              </w:rPr>
            </w:pPr>
            <w:r w:rsidRPr="006E2CF1">
              <w:rPr>
                <w:rFonts w:hint="eastAsia"/>
                <w:color w:val="EE0000"/>
              </w:rPr>
              <w:t>50</w:t>
            </w:r>
          </w:p>
        </w:tc>
      </w:tr>
    </w:tbl>
    <w:p w14:paraId="7C950C50" w14:textId="2C2B4067" w:rsidR="00B37448" w:rsidRPr="00B37448" w:rsidRDefault="006E2CF1" w:rsidP="00FA1F25">
      <w:pPr>
        <w:tabs>
          <w:tab w:val="left" w:pos="900"/>
        </w:tabs>
        <w:ind w:firstLineChars="180" w:firstLine="360"/>
        <w:rPr>
          <w:rFonts w:eastAsia="幼圆" w:hint="eastAsia"/>
          <w:color w:val="EE0000"/>
          <w:sz w:val="20"/>
          <w:szCs w:val="22"/>
        </w:rPr>
      </w:pPr>
      <w:r>
        <w:rPr>
          <w:rFonts w:hint="eastAsia"/>
          <w:color w:val="EE0000"/>
          <w:sz w:val="20"/>
          <w:szCs w:val="22"/>
        </w:rPr>
        <w:t>*</w:t>
      </w:r>
      <w:r w:rsidR="00B37448">
        <w:rPr>
          <w:rFonts w:hint="eastAsia"/>
          <w:color w:val="EE0000"/>
          <w:sz w:val="20"/>
          <w:szCs w:val="22"/>
        </w:rPr>
        <w:t>实验中，液位变送器出现严重误差（当实际液位为</w:t>
      </w:r>
      <w:r w:rsidR="00B37448">
        <w:rPr>
          <w:rFonts w:hint="eastAsia"/>
          <w:color w:val="EE0000"/>
          <w:sz w:val="20"/>
          <w:szCs w:val="22"/>
        </w:rPr>
        <w:t>0</w:t>
      </w:r>
      <w:r w:rsidR="00B37448">
        <w:rPr>
          <w:rFonts w:hint="eastAsia"/>
          <w:color w:val="EE0000"/>
          <w:sz w:val="20"/>
          <w:szCs w:val="22"/>
        </w:rPr>
        <w:t>的时候测量值为</w:t>
      </w:r>
      <w:r w:rsidR="00B37448">
        <w:rPr>
          <w:rFonts w:hint="eastAsia"/>
          <w:color w:val="EE0000"/>
          <w:sz w:val="20"/>
          <w:szCs w:val="22"/>
        </w:rPr>
        <w:t>60</w:t>
      </w:r>
      <w:r w:rsidR="00B37448">
        <w:rPr>
          <w:rFonts w:hint="eastAsia"/>
          <w:color w:val="EE0000"/>
          <w:sz w:val="20"/>
          <w:szCs w:val="22"/>
        </w:rPr>
        <w:t>），原因是</w:t>
      </w:r>
      <w:r>
        <w:rPr>
          <w:rFonts w:hint="eastAsia"/>
          <w:color w:val="EE0000"/>
          <w:sz w:val="20"/>
          <w:szCs w:val="22"/>
        </w:rPr>
        <w:t>连接水箱和</w:t>
      </w:r>
      <w:proofErr w:type="gramStart"/>
      <w:r>
        <w:rPr>
          <w:rFonts w:hint="eastAsia"/>
          <w:color w:val="EE0000"/>
          <w:sz w:val="20"/>
          <w:szCs w:val="22"/>
        </w:rPr>
        <w:t>液位</w:t>
      </w:r>
      <w:proofErr w:type="gramEnd"/>
      <w:r>
        <w:rPr>
          <w:rFonts w:hint="eastAsia"/>
          <w:color w:val="EE0000"/>
          <w:sz w:val="20"/>
          <w:szCs w:val="22"/>
        </w:rPr>
        <w:t>变送计的软管中存在空气。经老师校正后进行上述实验。</w:t>
      </w:r>
    </w:p>
    <w:p w14:paraId="4DEC07FA" w14:textId="77777777" w:rsidR="00291171" w:rsidRDefault="00291171"/>
    <w:sectPr w:rsidR="00291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CC204" w14:textId="77777777" w:rsidR="00525284" w:rsidRDefault="00525284" w:rsidP="00FA1F25">
      <w:r>
        <w:separator/>
      </w:r>
    </w:p>
  </w:endnote>
  <w:endnote w:type="continuationSeparator" w:id="0">
    <w:p w14:paraId="3132EFE2" w14:textId="77777777" w:rsidR="00525284" w:rsidRDefault="00525284" w:rsidP="00FA1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E5D6" w14:textId="77777777" w:rsidR="00525284" w:rsidRDefault="00525284" w:rsidP="00FA1F25">
      <w:r>
        <w:separator/>
      </w:r>
    </w:p>
  </w:footnote>
  <w:footnote w:type="continuationSeparator" w:id="0">
    <w:p w14:paraId="10B334E4" w14:textId="77777777" w:rsidR="00525284" w:rsidRDefault="00525284" w:rsidP="00FA1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71"/>
    <w:rsid w:val="00002DF8"/>
    <w:rsid w:val="00291171"/>
    <w:rsid w:val="00525284"/>
    <w:rsid w:val="006E2CF1"/>
    <w:rsid w:val="00B37448"/>
    <w:rsid w:val="00B45F71"/>
    <w:rsid w:val="00F236D2"/>
    <w:rsid w:val="00F35197"/>
    <w:rsid w:val="00F76ADA"/>
    <w:rsid w:val="00FA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FADFF43"/>
  <w15:chartTrackingRefBased/>
  <w15:docId w15:val="{0FABD260-8800-47BB-BBE0-740D06D1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F2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117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17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17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17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17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17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17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17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17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11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9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17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9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17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9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17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9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9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F25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A1F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F25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A1F25"/>
    <w:rPr>
      <w:sz w:val="18"/>
      <w:szCs w:val="18"/>
    </w:rPr>
  </w:style>
  <w:style w:type="table" w:styleId="af2">
    <w:name w:val="Table Grid"/>
    <w:basedOn w:val="a1"/>
    <w:uiPriority w:val="39"/>
    <w:rsid w:val="00002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baoxj</dc:creator>
  <cp:keywords/>
  <dc:description/>
  <cp:lastModifiedBy>家兴 殷</cp:lastModifiedBy>
  <cp:revision>4</cp:revision>
  <dcterms:created xsi:type="dcterms:W3CDTF">2025-05-28T02:16:00Z</dcterms:created>
  <dcterms:modified xsi:type="dcterms:W3CDTF">2026-04-13T15:29:00Z</dcterms:modified>
</cp:coreProperties>
</file>