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51419"/>
          <w:sz w:val="60"/>
        </w:rPr>
        <w:t>LUXURY LIVING,</w:t>
        <w:br/>
        <w:t>WITHIN REACH</w:t>
      </w:r>
    </w:p>
    <w:p>
      <w:pPr>
        <w:jc w:val="center"/>
      </w:pPr>
      <w:r>
        <w:rPr>
          <w:b/>
          <w:color w:val="F56E0F"/>
          <w:sz w:val="24"/>
        </w:rPr>
        <w:t>PROJECT FOUNDATION PACK</w:t>
      </w:r>
    </w:p>
    <w:p>
      <w:pPr>
        <w:spacing w:before="320"/>
        <w:jc w:val="center"/>
      </w:pPr>
      <w:r>
        <w:t>Deliverable 01 — Master Project Brief</w:t>
        <w:br/>
        <w:t>Deliverable 02 — Mobbin MCP Research Assignment</w:t>
        <w:br/>
        <w:t>Deliverable 03 — Brand Naming Brief</w:t>
      </w:r>
    </w:p>
    <w:p>
      <w:pPr>
        <w:spacing w:before="1200"/>
        <w:jc w:val="center"/>
      </w:pPr>
      <w:r>
        <w:rPr>
          <w:i/>
          <w:color w:val="646469"/>
          <w:sz w:val="18"/>
        </w:rPr>
        <w:t>Working project document • Version 1.0 • 21 October 2026</w:t>
      </w:r>
    </w:p>
    <w:p>
      <w:r>
        <w:br w:type="page"/>
      </w:r>
    </w:p>
    <w:p>
      <w:pPr>
        <w:pStyle w:val="Heading1"/>
      </w:pPr>
      <w:r>
        <w:t>DELIVERABLE 01</w:t>
      </w:r>
    </w:p>
    <w:p>
      <w:pPr>
        <w:pStyle w:val="Heading1"/>
      </w:pPr>
      <w:r>
        <w:t>Master Project Brief</w:t>
      </w:r>
    </w:p>
    <w:p>
      <w:r>
        <w:t>Working project title: Luxury Living, Within Reach</w:t>
      </w:r>
    </w:p>
    <w:p>
      <w:r>
        <w:t>Status: Fictional public-facing brand and digital product concept. The consumer-facing brand name is not yet selected.</w:t>
      </w:r>
    </w:p>
    <w:p>
      <w:pPr>
        <w:pStyle w:val="Heading2"/>
      </w:pPr>
      <w:r>
        <w:t>1. Executive summary</w:t>
      </w:r>
    </w:p>
    <w:p>
      <w:r>
        <w:t>Luxury Living, Within Reach is a fictional UK-focused property and sustainable-living brand concept. The project will demonstrate how a premium, design-led digital experience could present aspirational homes alongside clear, understandable information about energy-conscious living and illustrative ownership costs. The immediate goal is not to sell properties or collect purchase payments. It is to build a compelling, usable platform and brand that can be shared publicly, tested with audiences, included in the creator’s portfolio, and presented to potential investors as an early concept.</w:t>
      </w:r>
    </w:p>
    <w:p>
      <w:pPr>
        <w:pStyle w:val="Heading2"/>
      </w:pPr>
      <w:r>
        <w:t>2. Project goals</w:t>
      </w:r>
    </w:p>
    <w:p>
      <w:pPr>
        <w:pStyle w:val="ListBullet"/>
      </w:pPr>
      <w:r>
        <w:t>Create a distinctive, premium-feeling brand identity and a cohesive visual system.</w:t>
      </w:r>
    </w:p>
    <w:p>
      <w:pPr>
        <w:pStyle w:val="ListBullet"/>
      </w:pPr>
      <w:r>
        <w:t>Build a responsive, functional website that clearly communicates the concept and is intuitive to navigate.</w:t>
      </w:r>
    </w:p>
    <w:p>
      <w:pPr>
        <w:pStyle w:val="ListBullet"/>
      </w:pPr>
      <w:r>
        <w:t>Showcase a considered collection of fictional homes that express different levels of attainable luxury.</w:t>
      </w:r>
    </w:p>
    <w:p>
      <w:pPr>
        <w:pStyle w:val="ListBullet"/>
      </w:pPr>
      <w:r>
        <w:t>Communicate design desirability and financial clarity with equal emphasis.</w:t>
      </w:r>
    </w:p>
    <w:p>
      <w:pPr>
        <w:pStyle w:val="ListBullet"/>
      </w:pPr>
      <w:r>
        <w:t>Develop a consistent virtual brand personality to act as the brand’s public-facing social presence.</w:t>
      </w:r>
    </w:p>
    <w:p>
      <w:pPr>
        <w:pStyle w:val="ListBullet"/>
      </w:pPr>
      <w:r>
        <w:t>Publish social content and collect audience feedback to learn whether the concept is compelling and understandable.</w:t>
      </w:r>
    </w:p>
    <w:p>
      <w:pPr>
        <w:pStyle w:val="ListBullet"/>
      </w:pPr>
      <w:r>
        <w:t>Document the strategy, design rationale, product architecture, implementation and learnings for portfolio and investor conversations.</w:t>
      </w:r>
    </w:p>
    <w:p>
      <w:pPr>
        <w:pStyle w:val="Heading2"/>
      </w:pPr>
      <w:r>
        <w:t>3. Audience</w:t>
      </w:r>
    </w:p>
    <w:p>
      <w:r>
        <w:t>Primary audience: ambitious young professionals planning their next chapter—people considering independence, career progression, relationships, lifestyle and future homeownership.</w:t>
      </w:r>
    </w:p>
    <w:p>
      <w:r>
        <w:t>Secondary audience: aspiring first-time buyers who want contemporary, attractive homes and a clearer view of the costs and trade-offs involved in owning and running one.</w:t>
      </w:r>
    </w:p>
    <w:p>
      <w:r>
        <w:t>The concept is UK-wide, but any example property context or market reference must be described carefully. The concept is not a claim that the same price or product is attainable everywhere in the UK.</w:t>
      </w:r>
    </w:p>
    <w:p>
      <w:pPr>
        <w:pStyle w:val="Heading2"/>
      </w:pPr>
      <w:r>
        <w:t>4. Positioning and promise</w:t>
      </w:r>
    </w:p>
    <w:p>
      <w:r>
        <w:t>Working positioning: A design-led sustainable-home concept for ambitious people who want a beautiful place to live and a clearer understanding of the costs of owning and running it.</w:t>
      </w:r>
    </w:p>
    <w:p>
      <w:r>
        <w:t>Working promise: A better-looking home life, with a clearer picture of what it costs.</w:t>
      </w:r>
    </w:p>
    <w:p>
      <w:r>
        <w:t>Core principle: Aspirational by design. Transparent by default. Attainable within a clearly defined market.</w:t>
      </w:r>
    </w:p>
    <w:p>
      <w:pPr>
        <w:pStyle w:val="Heading2"/>
      </w:pPr>
      <w:r>
        <w:t>5. Strategic decisions already agreed</w:t>
      </w:r>
    </w:p>
    <w:p>
      <w:pPr>
        <w:pStyle w:val="ListBullet"/>
      </w:pPr>
      <w:r>
        <w:t>Direction: a fictional concept/product experiment developed to the quality and functionality of a real premium property brand.</w:t>
      </w:r>
    </w:p>
    <w:p>
      <w:pPr>
        <w:pStyle w:val="ListBullet"/>
      </w:pPr>
      <w:r>
        <w:t>Geography: UK-wide concept, using clearly labelled illustrative examples rather than implying one price applies nationally.</w:t>
      </w:r>
    </w:p>
    <w:p>
      <w:pPr>
        <w:pStyle w:val="ListBullet"/>
      </w:pPr>
      <w:r>
        <w:t>Affordability: balanced attainable luxury across a considered range.</w:t>
      </w:r>
    </w:p>
    <w:p>
      <w:pPr>
        <w:pStyle w:val="ListBullet"/>
      </w:pPr>
      <w:r>
        <w:t>Messaging: equal emphasis on beautiful design and financial clarity.</w:t>
      </w:r>
    </w:p>
    <w:p>
      <w:pPr>
        <w:pStyle w:val="ListBullet"/>
      </w:pPr>
      <w:r>
        <w:t>Differentiation: design-led homes presented alongside clear, transparent information about likely running costs and energy-conscious features.</w:t>
      </w:r>
    </w:p>
    <w:p>
      <w:pPr>
        <w:pStyle w:val="ListBullet"/>
      </w:pPr>
      <w:r>
        <w:t>The website, brand identity, virtual brand personality, social content and documentation are all part of one joined-up experience.</w:t>
      </w:r>
    </w:p>
    <w:p>
      <w:pPr>
        <w:pStyle w:val="Heading2"/>
      </w:pPr>
      <w:r>
        <w:t>6. Product collection: three working tiers</w:t>
      </w:r>
    </w:p>
    <w:p>
      <w:r>
        <w:t>These are product roles, not final property specifications or price commitments.</w:t>
      </w:r>
    </w:p>
    <w:p>
      <w:pPr>
        <w:pStyle w:val="Heading3"/>
      </w:pPr>
      <w:r>
        <w:t>Tier 1 — The Considered Starting Point</w:t>
      </w:r>
    </w:p>
    <w:p>
      <w:r>
        <w:t>A compact, well-planned home where space, light, storage and considered design do more with less. It should express the most accessible end of the collection.</w:t>
      </w:r>
    </w:p>
    <w:p>
      <w:pPr>
        <w:pStyle w:val="Heading3"/>
      </w:pPr>
      <w:r>
        <w:t>Tier 2 — The Signature Collection</w:t>
      </w:r>
    </w:p>
    <w:p>
      <w:r>
        <w:t>A balanced home for professional life, relaxing and entertaining. It should be the clearest expression of design desirability paired with financial clarity.</w:t>
      </w:r>
    </w:p>
    <w:p>
      <w:pPr>
        <w:pStyle w:val="Heading3"/>
      </w:pPr>
      <w:r>
        <w:t>Tier 3 — The Elevated Collection</w:t>
      </w:r>
    </w:p>
    <w:p>
      <w:r>
        <w:t>A more spacious, premium home with a stronger architectural and lifestyle proposition, while maintaining the same transparency standards.</w:t>
      </w:r>
    </w:p>
    <w:p>
      <w:r>
        <w:t>Specific prices are not a priority for the current phase. Use illustrative content only where it improves the experience, and label it clearly. Do not delay the design and build while researching final commercial pricing.</w:t>
      </w:r>
    </w:p>
    <w:p>
      <w:pPr>
        <w:pStyle w:val="Heading2"/>
      </w:pPr>
      <w:r>
        <w:t>7. Website experience: proposed scope</w:t>
      </w:r>
    </w:p>
    <w:p>
      <w:pPr>
        <w:pStyle w:val="ListBullet"/>
      </w:pPr>
      <w:r>
        <w:t>Homepage: immediate, compelling explanation of the concept; strong art direction; clear routes into the collection.</w:t>
      </w:r>
    </w:p>
    <w:p>
      <w:pPr>
        <w:pStyle w:val="ListBullet"/>
      </w:pPr>
      <w:r>
        <w:t>Our Homes / Collection: browse and compare the fictional homes with an understandable information hierarchy.</w:t>
      </w:r>
    </w:p>
    <w:p>
      <w:pPr>
        <w:pStyle w:val="ListBullet"/>
      </w:pPr>
      <w:r>
        <w:t>Individual home pages: imagery, design story, proposed specifications, energy-conscious features and clearly labelled illustrative details.</w:t>
      </w:r>
    </w:p>
    <w:p>
      <w:pPr>
        <w:pStyle w:val="ListBullet"/>
      </w:pPr>
      <w:r>
        <w:t>Our Approach: explain the concept’s philosophy and how design, energy and cost transparency fit together.</w:t>
      </w:r>
    </w:p>
    <w:p>
      <w:pPr>
        <w:pStyle w:val="ListBullet"/>
      </w:pPr>
      <w:r>
        <w:t>Feedback: invite users to respond to the concept—not submit a misleading property purchase enquiry.</w:t>
      </w:r>
    </w:p>
    <w:p>
      <w:pPr>
        <w:pStyle w:val="ListBullet"/>
      </w:pPr>
      <w:r>
        <w:t>Responsive and accessible experience: mobile-first layouts, readable typography, keyboard usability, sensible contrast and clear navigation.</w:t>
      </w:r>
    </w:p>
    <w:p>
      <w:pPr>
        <w:pStyle w:val="Heading2"/>
      </w:pPr>
      <w:r>
        <w:t>8. Virtual brand personality</w:t>
      </w:r>
    </w:p>
    <w:p>
      <w:r>
        <w:t>The virtual personality is a recurring, AI-generated face of the brand—not merely a website chatbot. It should have a consistent visual identity, voice, character profile and content role. It may introduce the concept, present design ideas, explain the brand’s philosophy and encourage audience feedback across social platforms. Its synthetic/virtual nature should not be misrepresented as a real human spokesperson.</w:t>
      </w:r>
    </w:p>
    <w:p>
      <w:r>
        <w:t>Develop its concept alongside the brand identity. Produce the full content system after the visual direction and brand voice are approved.</w:t>
      </w:r>
    </w:p>
    <w:p>
      <w:pPr>
        <w:pStyle w:val="Heading2"/>
      </w:pPr>
      <w:r>
        <w:t>9. Truthfulness and disclosure rules</w:t>
      </w:r>
    </w:p>
    <w:p>
      <w:pPr>
        <w:pStyle w:val="ListBullet"/>
      </w:pPr>
      <w:r>
        <w:t>Clearly disclose that the brand and homes are fictional concept work and that the properties are not currently offered for sale.</w:t>
      </w:r>
    </w:p>
    <w:p>
      <w:pPr>
        <w:pStyle w:val="ListBullet"/>
      </w:pPr>
      <w:r>
        <w:t>Do not fabricate real addresses, availability, testimonials, reviews, endorsements, certifications or customer results.</w:t>
      </w:r>
    </w:p>
    <w:p>
      <w:pPr>
        <w:pStyle w:val="ListBullet"/>
      </w:pPr>
      <w:r>
        <w:t>Distinguish verified facts, design proposals, illustrative assumptions and speculative future possibilities.</w:t>
      </w:r>
    </w:p>
    <w:p>
      <w:pPr>
        <w:pStyle w:val="ListBullet"/>
      </w:pPr>
      <w:r>
        <w:t>Label any illustrative price, mortgage estimate, energy figure or saving as such, with assumptions and limitations nearby.</w:t>
      </w:r>
    </w:p>
    <w:p>
      <w:pPr>
        <w:pStyle w:val="ListBullet"/>
      </w:pPr>
      <w:r>
        <w:t>Do not imply solar panels guarantee a specific bill or saving. Explain that outcomes depend on home specifications, usage, tariffs, weather and other factors.</w:t>
      </w:r>
    </w:p>
    <w:p>
      <w:pPr>
        <w:pStyle w:val="ListBullet"/>
      </w:pPr>
      <w:r>
        <w:t>Keep a claim register for factual sustainability or performance claims: claim, evidence/source, date checked, limitations and public-use status.</w:t>
      </w:r>
    </w:p>
    <w:p>
      <w:pPr>
        <w:pStyle w:val="Heading2"/>
      </w:pPr>
      <w:r>
        <w:t>10. Scope and non-goals for version one</w:t>
      </w:r>
    </w:p>
    <w:p>
      <w:r>
        <w:t>In scope: brand strategy and identity, responsive website, three fictional home profiles, clear navigation and comparison, virtual brand personality concept, six launch social posts, feedback mechanism, project documentation.</w:t>
      </w:r>
    </w:p>
    <w:p>
      <w:r>
        <w:t>Not required for version one: real property listings, payment flows, user accounts, a full mortgage calculator, saved searches, a production property database, a functioning brokerage operation or investor-grade financial forecasts. These can be considered only if the concept later advances.</w:t>
      </w:r>
    </w:p>
    <w:p>
      <w:pPr>
        <w:pStyle w:val="Heading2"/>
      </w:pPr>
      <w:r>
        <w:t>11. How we will judge the concept</w:t>
      </w:r>
    </w:p>
    <w:p>
      <w:pPr>
        <w:pStyle w:val="ListBullet"/>
      </w:pPr>
      <w:r>
        <w:t>First impression: does it feel distinctive and premium?</w:t>
      </w:r>
    </w:p>
    <w:p>
      <w:pPr>
        <w:pStyle w:val="ListBullet"/>
      </w:pPr>
      <w:r>
        <w:t>Comprehension: can a new visitor explain the concept after a short visit?</w:t>
      </w:r>
    </w:p>
    <w:p>
      <w:pPr>
        <w:pStyle w:val="ListBullet"/>
      </w:pPr>
      <w:r>
        <w:t>Navigation: can visitors find the collection and understand what to do next?</w:t>
      </w:r>
    </w:p>
    <w:p>
      <w:pPr>
        <w:pStyle w:val="ListBullet"/>
      </w:pPr>
      <w:r>
        <w:t>Visual communication: do imagery, typography and layout help visitors understand the homes?</w:t>
      </w:r>
    </w:p>
    <w:p>
      <w:pPr>
        <w:pStyle w:val="ListBullet"/>
      </w:pPr>
      <w:r>
        <w:t>Credibility: are fictional status and illustrative information clear without undermining the experience?</w:t>
      </w:r>
    </w:p>
    <w:p>
      <w:pPr>
        <w:pStyle w:val="ListBullet"/>
      </w:pPr>
      <w:r>
        <w:t>Mobile experience: is the website coherent, legible and usable on a phone?</w:t>
      </w:r>
    </w:p>
    <w:p>
      <w:pPr>
        <w:pStyle w:val="ListBullet"/>
      </w:pPr>
      <w:r>
        <w:t>Audience response: what attracts, confuses or concerns users, and which parts of the concept do they remember?</w:t>
      </w:r>
    </w:p>
    <w:p>
      <w:pPr>
        <w:pStyle w:val="Heading2"/>
      </w:pPr>
      <w:r>
        <w:t>12. Working tool roles</w:t>
      </w:r>
    </w:p>
    <w:p>
      <w:pPr>
        <w:pStyle w:val="ListBullet"/>
      </w:pPr>
      <w:r>
        <w:t>ChatGPT: strategic lead, creative direction, requirements, prompts, critique and coherence checks.</w:t>
      </w:r>
    </w:p>
    <w:p>
      <w:pPr>
        <w:pStyle w:val="ListBullet"/>
      </w:pPr>
      <w:r>
        <w:t>Claude: design research, synthesis, UX recommendations and structured review.</w:t>
      </w:r>
    </w:p>
    <w:p>
      <w:pPr>
        <w:pStyle w:val="ListBullet"/>
      </w:pPr>
      <w:r>
        <w:t>Mobbin MCP: interface and flow research, where configured and accessible.</w:t>
      </w:r>
    </w:p>
    <w:p>
      <w:pPr>
        <w:pStyle w:val="ListBullet"/>
      </w:pPr>
      <w:r>
        <w:t>Cursor: primary coding environment and canonical website implementation.</w:t>
      </w:r>
    </w:p>
    <w:p>
      <w:pPr>
        <w:pStyle w:val="ListBullet"/>
      </w:pPr>
      <w:r>
        <w:t>Google AI Studio: optional rapid prototypes or alternative UI experiments; not a second competing source of truth.</w:t>
      </w:r>
    </w:p>
    <w:p>
      <w:pPr>
        <w:pStyle w:val="ListBullet"/>
      </w:pPr>
      <w:r>
        <w:t>Image-generation tools: original concept imagery, moodboards and virtual personality exploration.</w:t>
      </w:r>
    </w:p>
    <w:p>
      <w:pPr>
        <w:pStyle w:val="ListBullet"/>
      </w:pPr>
      <w:r>
        <w:t>GitHub: version control and the canonical codebase.</w:t>
      </w:r>
    </w:p>
    <w:p>
      <w:pPr>
        <w:pStyle w:val="Heading2"/>
      </w:pPr>
      <w:r>
        <w:t>13. Source-of-truth and decision rules</w:t>
      </w:r>
    </w:p>
    <w:p>
      <w:pPr>
        <w:pStyle w:val="ListBullet"/>
      </w:pPr>
      <w:r>
        <w:t>This brief records agreed direction. The project decision log records later changes and why they were made.</w:t>
      </w:r>
    </w:p>
    <w:p>
      <w:pPr>
        <w:pStyle w:val="ListBullet"/>
      </w:pPr>
      <w:r>
        <w:t>Label decisions as CONFIRMED, PROVISIONAL or OPEN.</w:t>
      </w:r>
    </w:p>
    <w:p>
      <w:pPr>
        <w:pStyle w:val="ListBullet"/>
      </w:pPr>
      <w:r>
        <w:t>AI-generated suggestions are proposals, not approved decisions, until the project owner accepts them.</w:t>
      </w:r>
    </w:p>
    <w:p>
      <w:pPr>
        <w:pStyle w:val="ListBullet"/>
      </w:pPr>
      <w:r>
        <w:t>Use one canonical website repository. Do not maintain independent competing implementations in multiple builders.</w:t>
      </w:r>
    </w:p>
    <w:p>
      <w:pPr>
        <w:pStyle w:val="ListBullet"/>
      </w:pPr>
      <w:r>
        <w:t>After each major work session, record deliverables produced, decisions made, open questions, and the next owner/action.</w:t>
      </w:r>
    </w:p>
    <w:p>
      <w:pPr>
        <w:pStyle w:val="ListBullet"/>
      </w:pPr>
      <w:r>
        <w:t>The project owner makes final decisions. AI tools recommend, research, implement and critique within their assigned roles.</w:t>
      </w:r>
    </w:p>
    <w:p>
      <w:pPr>
        <w:pStyle w:val="Heading2"/>
      </w:pPr>
      <w:r>
        <w:t>14. Current open decisions</w:t>
      </w:r>
    </w:p>
    <w:p>
      <w:pPr>
        <w:pStyle w:val="ListBullet"/>
      </w:pPr>
      <w:r>
        <w:t>Final consumer-facing brand name and any tagline.</w:t>
      </w:r>
    </w:p>
    <w:p>
      <w:pPr>
        <w:pStyle w:val="ListBullet"/>
      </w:pPr>
      <w:r>
        <w:t>Creative direction, logo, typography, colours and imagery style.</w:t>
      </w:r>
    </w:p>
    <w:p>
      <w:pPr>
        <w:pStyle w:val="ListBullet"/>
      </w:pPr>
      <w:r>
        <w:t>Final sitemap and exact feature priorities after design research.</w:t>
      </w:r>
    </w:p>
    <w:p>
      <w:pPr>
        <w:pStyle w:val="ListBullet"/>
      </w:pPr>
      <w:r>
        <w:t>Technology stack and deployment approach for the canonical website.</w:t>
      </w:r>
    </w:p>
    <w:p>
      <w:pPr>
        <w:pStyle w:val="ListBullet"/>
      </w:pPr>
      <w:r>
        <w:t>Virtual personality: name, character design, voice and disclosure format.</w:t>
      </w:r>
    </w:p>
    <w:p>
      <w:pPr>
        <w:pStyle w:val="ListBullet"/>
      </w:pPr>
      <w:r>
        <w:t>Social channels and feedback/test plan.</w:t>
      </w:r>
    </w:p>
    <w:p>
      <w:r>
        <w:br w:type="page"/>
      </w:r>
    </w:p>
    <w:p>
      <w:pPr>
        <w:pStyle w:val="Heading1"/>
      </w:pPr>
      <w:r>
        <w:t>DELIVERABLE 02</w:t>
      </w:r>
    </w:p>
    <w:p>
      <w:pPr>
        <w:pStyle w:val="Heading1"/>
      </w:pPr>
      <w:r>
        <w:t>Mobbin MCP Research Assignment for Claude</w:t>
      </w:r>
    </w:p>
    <w:p>
      <w:r>
        <w:t>Purpose: produce a curated, evidence-based design research report to inform the brand’s original creative direction and website UX. Do not build the website in this phase.</w:t>
      </w:r>
    </w:p>
    <w:p>
      <w:pPr>
        <w:pStyle w:val="Heading2"/>
      </w:pPr>
      <w:r>
        <w:t>Copy-and-paste prompt</w:t>
      </w:r>
    </w:p>
    <w:p>
      <w:pPr>
        <w:spacing w:before="80" w:after="80"/>
        <w:ind w:left="259" w:right="259"/>
      </w:pPr>
      <w:r>
        <w:rPr>
          <w:rFonts w:ascii="Aptos" w:hAnsi="Aptos"/>
          <w:sz w:val="18"/>
        </w:rPr>
        <w:t>You are the Design Research Lead for a fictional premium property and sustainable-living concept called “Luxury Living, Within Reach.” The consumer-facing brand name is not yet final.</w:t>
        <w:br/>
      </w:r>
      <w:r>
        <w:rPr>
          <w:rFonts w:ascii="Aptos" w:hAnsi="Aptos"/>
          <w:sz w:val="18"/>
        </w:rPr>
        <w:br/>
      </w:r>
      <w:r>
        <w:rPr>
          <w:rFonts w:ascii="Aptos" w:hAnsi="Aptos"/>
          <w:sz w:val="18"/>
        </w:rPr>
        <w:t>PROJECT CONTEXT</w:t>
        <w:br/>
      </w:r>
      <w:r>
        <w:rPr>
          <w:rFonts w:ascii="Aptos" w:hAnsi="Aptos"/>
          <w:sz w:val="18"/>
        </w:rPr>
        <w:t>The concept is a UK-focused, fictional public-facing brand and digital product experiment. It should feel like a credible premium property brand, but it must not misrepresent fictional homes as real listings. The main audience is ambitious young professionals planning their next chapter; the secondary audience is aspiring first-time buyers. The positioning is balanced attainable luxury. The messaging priority is equal emphasis on beautiful design and financial clarity. The core promise is a better-looking home life with a clearer picture of what it costs.</w:t>
        <w:br/>
      </w:r>
      <w:r>
        <w:rPr>
          <w:rFonts w:ascii="Aptos" w:hAnsi="Aptos"/>
          <w:sz w:val="18"/>
        </w:rPr>
        <w:br/>
      </w:r>
      <w:r>
        <w:rPr>
          <w:rFonts w:ascii="Aptos" w:hAnsi="Aptos"/>
          <w:sz w:val="18"/>
        </w:rPr>
        <w:t>YOUR TASK</w:t>
        <w:br/>
      </w:r>
      <w:r>
        <w:rPr>
          <w:rFonts w:ascii="Aptos" w:hAnsi="Aptos"/>
          <w:sz w:val="18"/>
        </w:rPr>
        <w:t>Use Mobbin MCP if available to investigate relevant interface references. Supplement with carefully chosen public brand websites only where helpful. Research patterns and principles; do not copy a brand or recommend cloning a specific layout. If Mobbin MCP is unavailable, state that clearly and continue with accessible sources, distinguishing them from Mobbin findings.</w:t>
        <w:br/>
      </w:r>
      <w:r>
        <w:rPr>
          <w:rFonts w:ascii="Aptos" w:hAnsi="Aptos"/>
          <w:sz w:val="18"/>
        </w:rPr>
        <w:br/>
      </w:r>
      <w:r>
        <w:rPr>
          <w:rFonts w:ascii="Aptos" w:hAnsi="Aptos"/>
          <w:sz w:val="18"/>
        </w:rPr>
        <w:t>RESEARCH AREAS</w:t>
        <w:br/>
      </w:r>
      <w:r>
        <w:rPr>
          <w:rFonts w:ascii="Aptos" w:hAnsi="Aptos"/>
          <w:sz w:val="18"/>
        </w:rPr>
        <w:t>1. Premium property and real-estate collection browsing.</w:t>
        <w:br/>
      </w:r>
      <w:r>
        <w:rPr>
          <w:rFonts w:ascii="Aptos" w:hAnsi="Aptos"/>
          <w:sz w:val="18"/>
        </w:rPr>
        <w:t>2. Luxury hospitality, architecture, interiors and editorial experiences that create a premium first impression.</w:t>
        <w:br/>
      </w:r>
      <w:r>
        <w:rPr>
          <w:rFonts w:ascii="Aptos" w:hAnsi="Aptos"/>
          <w:sz w:val="18"/>
        </w:rPr>
        <w:t>3. Image-led homepage composition, typography, spacing, colour, transitions and motion.</w:t>
        <w:br/>
      </w:r>
      <w:r>
        <w:rPr>
          <w:rFonts w:ascii="Aptos" w:hAnsi="Aptos"/>
          <w:sz w:val="18"/>
        </w:rPr>
        <w:t>4. Property detail pages: how to balance imagery, key facts, features and secondary information.</w:t>
        <w:br/>
      </w:r>
      <w:r>
        <w:rPr>
          <w:rFonts w:ascii="Aptos" w:hAnsi="Aptos"/>
          <w:sz w:val="18"/>
        </w:rPr>
        <w:t>5. Comparison, filtering, navigation and mobile usability.</w:t>
        <w:br/>
      </w:r>
      <w:r>
        <w:rPr>
          <w:rFonts w:ascii="Aptos" w:hAnsi="Aptos"/>
          <w:sz w:val="18"/>
        </w:rPr>
        <w:t>6. Trust and transparency: how interfaces present complex or high-consideration information without overwhelming the visitor.</w:t>
        <w:br/>
      </w:r>
      <w:r>
        <w:rPr>
          <w:rFonts w:ascii="Aptos" w:hAnsi="Aptos"/>
          <w:sz w:val="18"/>
        </w:rPr>
        <w:t>7. Brand personality across a website and social content, relevant to a recurring virtual brand face.</w:t>
        <w:br/>
      </w:r>
      <w:r>
        <w:rPr>
          <w:rFonts w:ascii="Aptos" w:hAnsi="Aptos"/>
          <w:sz w:val="18"/>
        </w:rPr>
        <w:br/>
      </w:r>
      <w:r>
        <w:rPr>
          <w:rFonts w:ascii="Aptos" w:hAnsi="Aptos"/>
          <w:sz w:val="18"/>
        </w:rPr>
        <w:t>FOR EACH USEFUL REFERENCE, RECORD</w:t>
        <w:br/>
      </w:r>
      <w:r>
        <w:rPr>
          <w:rFonts w:ascii="Aptos" w:hAnsi="Aptos"/>
          <w:sz w:val="18"/>
        </w:rPr>
        <w:t>- Brand/product and source URL or Mobbin reference identifier, if available.</w:t>
        <w:br/>
      </w:r>
      <w:r>
        <w:rPr>
          <w:rFonts w:ascii="Aptos" w:hAnsi="Aptos"/>
          <w:sz w:val="18"/>
        </w:rPr>
        <w:t>- Screen, flow or pattern observed.</w:t>
        <w:br/>
      </w:r>
      <w:r>
        <w:rPr>
          <w:rFonts w:ascii="Aptos" w:hAnsi="Aptos"/>
          <w:sz w:val="18"/>
        </w:rPr>
        <w:t>- What it does well and why it likely works.</w:t>
        <w:br/>
      </w:r>
      <w:r>
        <w:rPr>
          <w:rFonts w:ascii="Aptos" w:hAnsi="Aptos"/>
          <w:sz w:val="18"/>
        </w:rPr>
        <w:t>- What might not transfer well to this project.</w:t>
        <w:br/>
      </w:r>
      <w:r>
        <w:rPr>
          <w:rFonts w:ascii="Aptos" w:hAnsi="Aptos"/>
          <w:sz w:val="18"/>
        </w:rPr>
        <w:t>- A specific principle we could adapt (not copy).</w:t>
        <w:br/>
      </w:r>
      <w:r>
        <w:rPr>
          <w:rFonts w:ascii="Aptos" w:hAnsi="Aptos"/>
          <w:sz w:val="18"/>
        </w:rPr>
        <w:t>- Desktop/mobile relevance.</w:t>
        <w:br/>
      </w:r>
      <w:r>
        <w:rPr>
          <w:rFonts w:ascii="Aptos" w:hAnsi="Aptos"/>
          <w:sz w:val="18"/>
        </w:rPr>
        <w:t>- Confidence: direct observation, source-supported interpretation, or your own recommendation.</w:t>
        <w:br/>
      </w:r>
      <w:r>
        <w:rPr>
          <w:rFonts w:ascii="Aptos" w:hAnsi="Aptos"/>
          <w:sz w:val="18"/>
        </w:rPr>
        <w:br/>
      </w:r>
      <w:r>
        <w:rPr>
          <w:rFonts w:ascii="Aptos" w:hAnsi="Aptos"/>
          <w:sz w:val="18"/>
        </w:rPr>
        <w:t>DELIVERABLES</w:t>
        <w:br/>
      </w:r>
      <w:r>
        <w:rPr>
          <w:rFonts w:ascii="Aptos" w:hAnsi="Aptos"/>
          <w:sz w:val="18"/>
        </w:rPr>
        <w:t>A. Executive summary: 5–10 findings that materially affect design decisions.</w:t>
        <w:br/>
      </w:r>
      <w:r>
        <w:rPr>
          <w:rFonts w:ascii="Aptos" w:hAnsi="Aptos"/>
          <w:sz w:val="18"/>
        </w:rPr>
        <w:t>B. Curated reference shortlist: aim for 8–12 high-value references, grouped by purpose; quality over quantity.</w:t>
        <w:br/>
      </w:r>
      <w:r>
        <w:rPr>
          <w:rFonts w:ascii="Aptos" w:hAnsi="Aptos"/>
          <w:sz w:val="18"/>
        </w:rPr>
        <w:t>C. UX pattern analysis: homepage, collection page, individual home page, comparison interaction, navigation, mobile experience and feedback path.</w:t>
        <w:br/>
      </w:r>
      <w:r>
        <w:rPr>
          <w:rFonts w:ascii="Aptos" w:hAnsi="Aptos"/>
          <w:sz w:val="18"/>
        </w:rPr>
        <w:t>D. Three distinct creative territories for the brand, each with mood, layout principles, typography direction, imagery direction, colour mood and risks. Do not choose a final logo or invent a final brand name.</w:t>
        <w:br/>
      </w:r>
      <w:r>
        <w:rPr>
          <w:rFonts w:ascii="Aptos" w:hAnsi="Aptos"/>
          <w:sz w:val="18"/>
        </w:rPr>
        <w:t>E. Proposed website information architecture and key user journeys.</w:t>
        <w:br/>
      </w:r>
      <w:r>
        <w:rPr>
          <w:rFonts w:ascii="Aptos" w:hAnsi="Aptos"/>
          <w:sz w:val="18"/>
        </w:rPr>
        <w:t>F. A list of specific design recommendations ranked by impact: must-have, should-have, optional.</w:t>
        <w:br/>
      </w:r>
      <w:r>
        <w:rPr>
          <w:rFonts w:ascii="Aptos" w:hAnsi="Aptos"/>
          <w:sz w:val="18"/>
        </w:rPr>
        <w:t>G. Risks and accessibility considerations, including mobile legibility, motion sensitivity, contrast, keyboard navigation and clarity of labels.</w:t>
        <w:br/>
      </w:r>
      <w:r>
        <w:rPr>
          <w:rFonts w:ascii="Aptos" w:hAnsi="Aptos"/>
          <w:sz w:val="18"/>
        </w:rPr>
        <w:t>H. A short “evidence versus interpretation” section separating observed facts from your judgement.</w:t>
        <w:br/>
      </w:r>
      <w:r>
        <w:rPr>
          <w:rFonts w:ascii="Aptos" w:hAnsi="Aptos"/>
          <w:sz w:val="18"/>
        </w:rPr>
        <w:br/>
      </w:r>
      <w:r>
        <w:rPr>
          <w:rFonts w:ascii="Aptos" w:hAnsi="Aptos"/>
          <w:sz w:val="18"/>
        </w:rPr>
        <w:t>CONSTRAINTS</w:t>
        <w:br/>
      </w:r>
      <w:r>
        <w:rPr>
          <w:rFonts w:ascii="Aptos" w:hAnsi="Aptos"/>
          <w:sz w:val="18"/>
        </w:rPr>
        <w:t>- Do not start coding or generate a full website.</w:t>
        <w:br/>
      </w:r>
      <w:r>
        <w:rPr>
          <w:rFonts w:ascii="Aptos" w:hAnsi="Aptos"/>
          <w:sz w:val="18"/>
        </w:rPr>
        <w:t>- Do not assume any unverified property price, energy saving, certification or performance figure.</w:t>
        <w:br/>
      </w:r>
      <w:r>
        <w:rPr>
          <w:rFonts w:ascii="Aptos" w:hAnsi="Aptos"/>
          <w:sz w:val="18"/>
        </w:rPr>
        <w:t>- Do not treat the concept as a live estate agency.</w:t>
        <w:br/>
      </w:r>
      <w:r>
        <w:rPr>
          <w:rFonts w:ascii="Aptos" w:hAnsi="Aptos"/>
          <w:sz w:val="18"/>
        </w:rPr>
        <w:t>- Avoid generic advice such as “make it modern” unless you explain what that means in concrete visual or interaction terms.</w:t>
        <w:br/>
      </w:r>
      <w:r>
        <w:rPr>
          <w:rFonts w:ascii="Aptos" w:hAnsi="Aptos"/>
          <w:sz w:val="18"/>
        </w:rPr>
        <w:t>- Keep the brand’s dual objective visible: it must be visually compelling and immediately understandable.</w:t>
        <w:br/>
      </w:r>
      <w:r>
        <w:rPr>
          <w:rFonts w:ascii="Aptos" w:hAnsi="Aptos"/>
          <w:sz w:val="18"/>
        </w:rPr>
        <w:t>- Avoid making green colour, leaves or solar icons the entire sustainability identity.</w:t>
        <w:br/>
      </w:r>
      <w:r>
        <w:rPr>
          <w:rFonts w:ascii="Aptos" w:hAnsi="Aptos"/>
          <w:sz w:val="18"/>
        </w:rPr>
        <w:t>- Do not reproduce proprietary screens wholesale. Translate observations into original principles.</w:t>
        <w:br/>
      </w:r>
      <w:r>
        <w:rPr>
          <w:rFonts w:ascii="Aptos" w:hAnsi="Aptos"/>
          <w:sz w:val="18"/>
        </w:rPr>
        <w:br/>
      </w:r>
      <w:r>
        <w:rPr>
          <w:rFonts w:ascii="Aptos" w:hAnsi="Aptos"/>
          <w:sz w:val="18"/>
        </w:rPr>
        <w:t>FINISH WITH</w:t>
        <w:br/>
      </w:r>
      <w:r>
        <w:rPr>
          <w:rFonts w:ascii="Aptos" w:hAnsi="Aptos"/>
          <w:sz w:val="18"/>
        </w:rPr>
        <w:t>1. The 5 decisions the project owner needs to make next.</w:t>
        <w:br/>
      </w:r>
      <w:r>
        <w:rPr>
          <w:rFonts w:ascii="Aptos" w:hAnsi="Aptos"/>
          <w:sz w:val="18"/>
        </w:rPr>
        <w:t>2. The 3 strongest creative territories to prototype.</w:t>
        <w:br/>
      </w:r>
      <w:r>
        <w:rPr>
          <w:rFonts w:ascii="Aptos" w:hAnsi="Aptos"/>
          <w:sz w:val="18"/>
        </w:rPr>
        <w:t>3. The smallest set of references we should keep open while designing the first homepage.</w:t>
        <w:br/>
      </w:r>
      <w:r>
        <w:rPr>
          <w:rFonts w:ascii="Aptos" w:hAnsi="Aptos"/>
          <w:sz w:val="18"/>
        </w:rPr>
        <w:t>4. Any research limitations, missing access or assumptions.</w:t>
        <w:br/>
      </w:r>
      <w:r>
        <w:rPr>
          <w:rFonts w:ascii="Aptos" w:hAnsi="Aptos"/>
          <w:sz w:val="18"/>
        </w:rPr>
        <w:br/>
      </w:r>
      <w:r>
        <w:rPr>
          <w:rFonts w:ascii="Aptos" w:hAnsi="Aptos"/>
          <w:sz w:val="18"/>
        </w:rPr>
        <w:t>Return the report in a clear, structured format with source links or reference identifiers wherever possible.</w:t>
        <w:br/>
      </w:r>
    </w:p>
    <w:p>
      <w:pPr>
        <w:pStyle w:val="Heading2"/>
      </w:pPr>
      <w:r>
        <w:t>How to use the result</w:t>
      </w:r>
    </w:p>
    <w:p>
      <w:pPr>
        <w:pStyle w:val="ListNumber"/>
      </w:pPr>
      <w:r>
        <w:t>Give Claude the Master Project Brief as context and paste the assignment above.</w:t>
      </w:r>
    </w:p>
    <w:p>
      <w:pPr>
        <w:pStyle w:val="ListNumber"/>
      </w:pPr>
      <w:r>
        <w:t>Ask Claude to save its report as a project document, including source links and reference IDs.</w:t>
      </w:r>
    </w:p>
    <w:p>
      <w:pPr>
        <w:pStyle w:val="ListNumber"/>
      </w:pPr>
      <w:r>
        <w:t>Do not accept a moodboard or list of references without the reasoning behind them.</w:t>
      </w:r>
    </w:p>
    <w:p>
      <w:pPr>
        <w:pStyle w:val="ListNumber"/>
      </w:pPr>
      <w:r>
        <w:t>Bring the report back to ChatGPT for critique. We will identify which recommendations align with the strategy and which should be rejected.</w:t>
      </w:r>
    </w:p>
    <w:p>
      <w:pPr>
        <w:pStyle w:val="ListNumber"/>
      </w:pPr>
      <w:r>
        <w:t>Only after review will we lock a creative territory and move to identity design.</w:t>
      </w:r>
    </w:p>
    <w:p>
      <w:r>
        <w:br w:type="page"/>
      </w:r>
    </w:p>
    <w:p>
      <w:pPr>
        <w:pStyle w:val="Heading1"/>
      </w:pPr>
      <w:r>
        <w:t>DELIVERABLE 03</w:t>
      </w:r>
    </w:p>
    <w:p>
      <w:pPr>
        <w:pStyle w:val="Heading1"/>
      </w:pPr>
      <w:r>
        <w:t>Brand Naming Brief</w:t>
      </w:r>
    </w:p>
    <w:p>
      <w:pPr>
        <w:pStyle w:val="Heading2"/>
      </w:pPr>
      <w:r>
        <w:t>1. Naming assignment</w:t>
      </w:r>
    </w:p>
    <w:p>
      <w:r>
        <w:t>Develop a distinctive consumer-facing name for a fictional UK-focused, premium, design-led sustainable-home concept. “Luxury Living, Within Reach” remains the internal working title and strategic idea; it is not automatically the final brand name.</w:t>
      </w:r>
    </w:p>
    <w:p>
      <w:pPr>
        <w:pStyle w:val="Heading2"/>
      </w:pPr>
      <w:r>
        <w:t>2. What the name must support</w:t>
      </w:r>
    </w:p>
    <w:p>
      <w:pPr>
        <w:pStyle w:val="ListBullet"/>
      </w:pPr>
      <w:r>
        <w:t>Premium, architectural and contemporary in tone.</w:t>
      </w:r>
    </w:p>
    <w:p>
      <w:pPr>
        <w:pStyle w:val="ListBullet"/>
      </w:pPr>
      <w:r>
        <w:t>Aspirational without sounding exclusive, ostentatious or financially unrealistic.</w:t>
      </w:r>
    </w:p>
    <w:p>
      <w:pPr>
        <w:pStyle w:val="ListBullet"/>
      </w:pPr>
      <w:r>
        <w:t>Connected to thoughtful living and sustainability without relying on obvious green clichés.</w:t>
      </w:r>
    </w:p>
    <w:p>
      <w:pPr>
        <w:pStyle w:val="ListBullet"/>
      </w:pPr>
      <w:r>
        <w:t>Memorable, pronounceable and reasonably easy to spell after hearing it.</w:t>
      </w:r>
    </w:p>
    <w:p>
      <w:pPr>
        <w:pStyle w:val="ListBullet"/>
      </w:pPr>
      <w:r>
        <w:t>Flexible enough to cover homes, a digital platform, content and a virtual brand personality.</w:t>
      </w:r>
    </w:p>
    <w:p>
      <w:pPr>
        <w:pStyle w:val="ListBullet"/>
      </w:pPr>
      <w:r>
        <w:t>Credible in a portfolio case study and in an early-stage investor presentation.</w:t>
      </w:r>
    </w:p>
    <w:p>
      <w:pPr>
        <w:pStyle w:val="ListBullet"/>
      </w:pPr>
      <w:r>
        <w:t>Suitable for a website and social presence, subject to availability and legal checks.</w:t>
      </w:r>
    </w:p>
    <w:p>
      <w:pPr>
        <w:pStyle w:val="Heading2"/>
      </w:pPr>
      <w:r>
        <w:t>3. Naming territories to explore</w:t>
      </w:r>
    </w:p>
    <w:p>
      <w:pPr>
        <w:pStyle w:val="Heading3"/>
      </w:pPr>
      <w:r>
        <w:t>Territory A — Architectural and editorial</w:t>
      </w:r>
    </w:p>
    <w:p>
      <w:r>
        <w:t>Names with restraint, design credibility, a refined sound and the confidence of a contemporary architecture or interiors brand.</w:t>
      </w:r>
    </w:p>
    <w:p>
      <w:pPr>
        <w:pStyle w:val="Heading3"/>
      </w:pPr>
      <w:r>
        <w:t>Territory B — Progress and possibility</w:t>
      </w:r>
    </w:p>
    <w:p>
      <w:r>
        <w:t>Names that suggest a next chapter, a better way forward, or the feeling of moving toward a desired life.</w:t>
      </w:r>
    </w:p>
    <w:p>
      <w:pPr>
        <w:pStyle w:val="Heading3"/>
      </w:pPr>
      <w:r>
        <w:t>Territory C — Nature and intelligent living</w:t>
      </w:r>
    </w:p>
    <w:p>
      <w:r>
        <w:t>Names that evoke light, energy, place, balance or the relationship between a home and its environment, without sounding like a solar installer.</w:t>
      </w:r>
    </w:p>
    <w:p>
      <w:pPr>
        <w:pStyle w:val="Heading2"/>
      </w:pPr>
      <w:r>
        <w:t>4. Avoid</w:t>
      </w:r>
    </w:p>
    <w:p>
      <w:pPr>
        <w:pStyle w:val="ListBullet"/>
      </w:pPr>
      <w:r>
        <w:t>Generic combinations such as Green Homes, Solar Luxury or Eco Living unless there is a genuinely distinctive reason.</w:t>
      </w:r>
    </w:p>
    <w:p>
      <w:pPr>
        <w:pStyle w:val="ListBullet"/>
      </w:pPr>
      <w:r>
        <w:t>Names that promise guaranteed affordability, zero bills or environmental outcomes.</w:t>
      </w:r>
    </w:p>
    <w:p>
      <w:pPr>
        <w:pStyle w:val="ListBullet"/>
      </w:pPr>
      <w:r>
        <w:t>Names that sound like a property portal, estate agent or housebuilder by default unless that is an intentional strategic choice.</w:t>
      </w:r>
    </w:p>
    <w:p>
      <w:pPr>
        <w:pStyle w:val="ListBullet"/>
      </w:pPr>
      <w:r>
        <w:t>Hard-to-pronounce invented words with no memorable rationale.</w:t>
      </w:r>
    </w:p>
    <w:p>
      <w:pPr>
        <w:pStyle w:val="ListBullet"/>
      </w:pPr>
      <w:r>
        <w:t>Names whose meaning depends on an explanation that is longer than the name itself.</w:t>
      </w:r>
    </w:p>
    <w:p>
      <w:pPr>
        <w:pStyle w:val="ListBullet"/>
      </w:pPr>
      <w:r>
        <w:t>Names selected only because a domain appears available; legal and market checks are still needed.</w:t>
      </w:r>
    </w:p>
    <w:p>
      <w:pPr>
        <w:pStyle w:val="Heading2"/>
      </w:pPr>
      <w:r>
        <w:t>5. Evaluation scorecard</w:t>
      </w:r>
    </w:p>
    <w:tbl>
      <w:tblPr>
        <w:tblStyle w:val="LightShading-Accent1"/>
        <w:tblW w:type="auto" w:w="0"/>
        <w:tblLook w:firstColumn="1" w:firstRow="1" w:lastColumn="0" w:lastRow="0" w:noHBand="0" w:noVBand="1" w:val="04A0"/>
      </w:tblPr>
      <w:tblGrid>
        <w:gridCol w:w="3312"/>
        <w:gridCol w:w="3312"/>
        <w:gridCol w:w="3312"/>
      </w:tblGrid>
      <w:tr>
        <w:tc>
          <w:tcPr>
            <w:tcW w:type="dxa" w:w="3312"/>
            <w:shd w:fill="F56E0F"/>
          </w:tcPr>
          <w:p>
            <w:r>
              <w:rPr>
                <w:b/>
                <w:color w:val="FFFFFF"/>
              </w:rPr>
              <w:t>Criterion</w:t>
            </w:r>
          </w:p>
        </w:tc>
        <w:tc>
          <w:tcPr>
            <w:tcW w:type="dxa" w:w="3312"/>
            <w:shd w:fill="F56E0F"/>
          </w:tcPr>
          <w:p>
            <w:r>
              <w:rPr>
                <w:b/>
                <w:color w:val="FFFFFF"/>
              </w:rPr>
              <w:t>Weight</w:t>
            </w:r>
          </w:p>
        </w:tc>
        <w:tc>
          <w:tcPr>
            <w:tcW w:type="dxa" w:w="3312"/>
            <w:shd w:fill="F56E0F"/>
          </w:tcPr>
          <w:p>
            <w:r>
              <w:rPr>
                <w:b/>
                <w:color w:val="FFFFFF"/>
              </w:rPr>
              <w:t>Question</w:t>
            </w:r>
          </w:p>
        </w:tc>
      </w:tr>
      <w:tr>
        <w:tc>
          <w:tcPr>
            <w:tcW w:type="dxa" w:w="3312"/>
          </w:tcPr>
          <w:p>
            <w:r>
              <w:t>Distinctiveness</w:t>
            </w:r>
          </w:p>
        </w:tc>
        <w:tc>
          <w:tcPr>
            <w:tcW w:type="dxa" w:w="3312"/>
          </w:tcPr>
          <w:p>
            <w:r>
              <w:t>20%</w:t>
            </w:r>
          </w:p>
        </w:tc>
        <w:tc>
          <w:tcPr>
            <w:tcW w:type="dxa" w:w="3312"/>
          </w:tcPr>
          <w:p>
            <w:r>
              <w:t>Does it stand apart from generic property and green-living names?</w:t>
            </w:r>
          </w:p>
        </w:tc>
      </w:tr>
      <w:tr>
        <w:tc>
          <w:tcPr>
            <w:tcW w:type="dxa" w:w="3312"/>
          </w:tcPr>
          <w:p>
            <w:r>
              <w:t>Premium credibility</w:t>
            </w:r>
          </w:p>
        </w:tc>
        <w:tc>
          <w:tcPr>
            <w:tcW w:type="dxa" w:w="3312"/>
          </w:tcPr>
          <w:p>
            <w:r>
              <w:t>15%</w:t>
            </w:r>
          </w:p>
        </w:tc>
        <w:tc>
          <w:tcPr>
            <w:tcW w:type="dxa" w:w="3312"/>
          </w:tcPr>
          <w:p>
            <w:r>
              <w:t>Could it credibly sit on a refined property website?</w:t>
            </w:r>
          </w:p>
        </w:tc>
      </w:tr>
      <w:tr>
        <w:tc>
          <w:tcPr>
            <w:tcW w:type="dxa" w:w="3312"/>
          </w:tcPr>
          <w:p>
            <w:r>
              <w:t>Meaning and fit</w:t>
            </w:r>
          </w:p>
        </w:tc>
        <w:tc>
          <w:tcPr>
            <w:tcW w:type="dxa" w:w="3312"/>
          </w:tcPr>
          <w:p>
            <w:r>
              <w:t>15%</w:t>
            </w:r>
          </w:p>
        </w:tc>
        <w:tc>
          <w:tcPr>
            <w:tcW w:type="dxa" w:w="3312"/>
          </w:tcPr>
          <w:p>
            <w:r>
              <w:t>Does it support the strategy without overexplaining it?</w:t>
            </w:r>
          </w:p>
        </w:tc>
      </w:tr>
      <w:tr>
        <w:tc>
          <w:tcPr>
            <w:tcW w:type="dxa" w:w="3312"/>
          </w:tcPr>
          <w:p>
            <w:r>
              <w:t>Memorability</w:t>
            </w:r>
          </w:p>
        </w:tc>
        <w:tc>
          <w:tcPr>
            <w:tcW w:type="dxa" w:w="3312"/>
          </w:tcPr>
          <w:p>
            <w:r>
              <w:t>15%</w:t>
            </w:r>
          </w:p>
        </w:tc>
        <w:tc>
          <w:tcPr>
            <w:tcW w:type="dxa" w:w="3312"/>
          </w:tcPr>
          <w:p>
            <w:r>
              <w:t>Is it easy to recall after one exposure?</w:t>
            </w:r>
          </w:p>
        </w:tc>
      </w:tr>
      <w:tr>
        <w:tc>
          <w:tcPr>
            <w:tcW w:type="dxa" w:w="3312"/>
          </w:tcPr>
          <w:p>
            <w:r>
              <w:t>Pronunciation and spelling</w:t>
            </w:r>
          </w:p>
        </w:tc>
        <w:tc>
          <w:tcPr>
            <w:tcW w:type="dxa" w:w="3312"/>
          </w:tcPr>
          <w:p>
            <w:r>
              <w:t>10%</w:t>
            </w:r>
          </w:p>
        </w:tc>
        <w:tc>
          <w:tcPr>
            <w:tcW w:type="dxa" w:w="3312"/>
          </w:tcPr>
          <w:p>
            <w:r>
              <w:t>Can people say it and find it easily?</w:t>
            </w:r>
          </w:p>
        </w:tc>
      </w:tr>
      <w:tr>
        <w:tc>
          <w:tcPr>
            <w:tcW w:type="dxa" w:w="3312"/>
          </w:tcPr>
          <w:p>
            <w:r>
              <w:t>Flexibility</w:t>
            </w:r>
          </w:p>
        </w:tc>
        <w:tc>
          <w:tcPr>
            <w:tcW w:type="dxa" w:w="3312"/>
          </w:tcPr>
          <w:p>
            <w:r>
              <w:t>10%</w:t>
            </w:r>
          </w:p>
        </w:tc>
        <w:tc>
          <w:tcPr>
            <w:tcW w:type="dxa" w:w="3312"/>
          </w:tcPr>
          <w:p>
            <w:r>
              <w:t>Can it extend into a platform, content and a virtual personality?</w:t>
            </w:r>
          </w:p>
        </w:tc>
      </w:tr>
      <w:tr>
        <w:tc>
          <w:tcPr>
            <w:tcW w:type="dxa" w:w="3312"/>
          </w:tcPr>
          <w:p>
            <w:r>
              <w:t>Digital usability</w:t>
            </w:r>
          </w:p>
        </w:tc>
        <w:tc>
          <w:tcPr>
            <w:tcW w:type="dxa" w:w="3312"/>
          </w:tcPr>
          <w:p>
            <w:r>
              <w:t>5%</w:t>
            </w:r>
          </w:p>
        </w:tc>
        <w:tc>
          <w:tcPr>
            <w:tcW w:type="dxa" w:w="3312"/>
          </w:tcPr>
          <w:p>
            <w:r>
              <w:t>Is it reasonably suited to a URL and social handles?</w:t>
            </w:r>
          </w:p>
        </w:tc>
      </w:tr>
      <w:tr>
        <w:tc>
          <w:tcPr>
            <w:tcW w:type="dxa" w:w="3312"/>
          </w:tcPr>
          <w:p>
            <w:r>
              <w:t>Preliminary conflict risk</w:t>
            </w:r>
          </w:p>
        </w:tc>
        <w:tc>
          <w:tcPr>
            <w:tcW w:type="dxa" w:w="3312"/>
          </w:tcPr>
          <w:p>
            <w:r>
              <w:t>10%</w:t>
            </w:r>
          </w:p>
        </w:tc>
        <w:tc>
          <w:tcPr>
            <w:tcW w:type="dxa" w:w="3312"/>
          </w:tcPr>
          <w:p>
            <w:r>
              <w:t>Are obvious businesses or marks already using a confusingly similar name?</w:t>
            </w:r>
          </w:p>
        </w:tc>
      </w:tr>
    </w:tbl>
    <w:p>
      <w:r>
        <w:t>Score candidates from 1–5 per criterion, apply the weighting, and explain the reasoning. Scoring supports judgement; it does not replace it.</w:t>
      </w:r>
    </w:p>
    <w:p>
      <w:pPr>
        <w:pStyle w:val="Heading2"/>
      </w:pPr>
      <w:r>
        <w:t>6. Naming process and required output</w:t>
      </w:r>
    </w:p>
    <w:p>
      <w:pPr>
        <w:pStyle w:val="ListNumber"/>
      </w:pPr>
      <w:r>
        <w:t>Generate 20–30 candidates across the three territories.</w:t>
      </w:r>
    </w:p>
    <w:p>
      <w:pPr>
        <w:pStyle w:val="ListNumber"/>
      </w:pPr>
      <w:r>
        <w:t>Reduce to 8–10 candidates and explain each name’s meaning, tone, advantages and risks.</w:t>
      </w:r>
    </w:p>
    <w:p>
      <w:pPr>
        <w:pStyle w:val="ListNumber"/>
      </w:pPr>
      <w:r>
        <w:t>Select a shortlist of 3–5, with a scorecard and a recommendation.</w:t>
      </w:r>
    </w:p>
    <w:p>
      <w:pPr>
        <w:pStyle w:val="ListNumber"/>
      </w:pPr>
      <w:r>
        <w:t>Run preliminary web, domain and social-handle checks; record date and source. Do not claim legal availability.</w:t>
      </w:r>
    </w:p>
    <w:p>
      <w:pPr>
        <w:pStyle w:val="ListNumber"/>
      </w:pPr>
      <w:r>
        <w:t>Flag potential trademark or business-name conflicts for a more formal check before public commitment.</w:t>
      </w:r>
    </w:p>
    <w:p>
      <w:pPr>
        <w:pStyle w:val="ListNumber"/>
      </w:pPr>
      <w:r>
        <w:t>Test pronunciation, spelling, associations and perceived brand fit with a small group of people where possible.</w:t>
      </w:r>
    </w:p>
    <w:p>
      <w:pPr>
        <w:pStyle w:val="ListNumber"/>
      </w:pPr>
      <w:r>
        <w:t>Recommend one preferred candidate and one backup, but leave final approval to the project owner.</w:t>
      </w:r>
    </w:p>
    <w:p>
      <w:pPr>
        <w:pStyle w:val="Heading2"/>
      </w:pPr>
      <w:r>
        <w:t>7. Copy-and-paste naming prompt for Claude</w:t>
      </w:r>
    </w:p>
    <w:p>
      <w:pPr>
        <w:ind w:left="259" w:right="259"/>
      </w:pPr>
      <w:r>
        <w:rPr>
          <w:sz w:val="18"/>
        </w:rPr>
        <w:t>Act as a senior brand naming strategist. Use the attached Master Project Brief and Brand Naming Brief to develop names for this fictional premium, design-led sustainable-home concept.</w:t>
        <w:br/>
      </w:r>
      <w:r>
        <w:rPr>
          <w:sz w:val="18"/>
        </w:rPr>
        <w:br/>
      </w:r>
      <w:r>
        <w:rPr>
          <w:sz w:val="18"/>
        </w:rPr>
        <w:t>First, restate the strategy in no more than 5 bullets. Then generate 20–30 names across these territories:</w:t>
        <w:br/>
      </w:r>
      <w:r>
        <w:rPr>
          <w:sz w:val="18"/>
        </w:rPr>
        <w:t>A) architectural and editorial,</w:t>
        <w:br/>
      </w:r>
      <w:r>
        <w:rPr>
          <w:sz w:val="18"/>
        </w:rPr>
        <w:t>B) progress and possibility,</w:t>
        <w:br/>
      </w:r>
      <w:r>
        <w:rPr>
          <w:sz w:val="18"/>
        </w:rPr>
        <w:t>C) nature and intelligent living.</w:t>
        <w:br/>
      </w:r>
      <w:r>
        <w:rPr>
          <w:sz w:val="18"/>
        </w:rPr>
        <w:br/>
      </w:r>
      <w:r>
        <w:rPr>
          <w:sz w:val="18"/>
        </w:rPr>
        <w:t>Do not use generic eco clichés or make claims about guaranteed affordability, zero bills or environmental outcomes. Do not assume “Luxury Living, Within Reach” is the final name. Avoid copying or closely imitating known brands.</w:t>
        <w:br/>
      </w:r>
      <w:r>
        <w:rPr>
          <w:sz w:val="18"/>
        </w:rPr>
        <w:br/>
      </w:r>
      <w:r>
        <w:rPr>
          <w:sz w:val="18"/>
        </w:rPr>
        <w:t>For every candidate provide: pronunciation if needed, intended meaning or association, tone, strategic fit, potential weakness, and whether it feels more like a consumer brand, property portal, developer or energy company.</w:t>
        <w:br/>
      </w:r>
      <w:r>
        <w:rPr>
          <w:sz w:val="18"/>
        </w:rPr>
        <w:br/>
      </w:r>
      <w:r>
        <w:rPr>
          <w:sz w:val="18"/>
        </w:rPr>
        <w:t>Score the best 8–10 candidates using the supplied scorecard. Recommend a shortlist of 3–5 and explain trade-offs, not just the positives. If web access is available, do preliminary checks for obvious business, domain and social-handle conflicts and cite the sources and date checked. These are preliminary checks only, not legal clearance. Clearly distinguish verified results from assumptions.</w:t>
        <w:br/>
      </w:r>
      <w:r>
        <w:rPr>
          <w:sz w:val="18"/>
        </w:rPr>
        <w:br/>
      </w:r>
      <w:r>
        <w:rPr>
          <w:sz w:val="18"/>
        </w:rPr>
        <w:t>Do not design the logo yet. End with one recommended name, one backup, and the questions the project owner should consider before deciding.</w:t>
        <w:br/>
      </w:r>
    </w:p>
    <w:p>
      <w:pPr>
        <w:pStyle w:val="Heading2"/>
      </w:pPr>
      <w:r>
        <w:t>8. Decision rule</w:t>
      </w:r>
    </w:p>
    <w:p>
      <w:r>
        <w:t>Do not finalise a logo, colour palette or social handle until the name has been selected and preliminary conflict checks have been completed. The name must serve the concept, not force the concept to change.</w:t>
      </w:r>
    </w:p>
    <w:p>
      <w:r>
        <w:br w:type="page"/>
      </w:r>
    </w:p>
    <w:p>
      <w:pPr>
        <w:pStyle w:val="Heading1"/>
      </w:pPr>
      <w:r>
        <w:t>APPENDIX</w:t>
      </w:r>
    </w:p>
    <w:p>
      <w:pPr>
        <w:pStyle w:val="Heading1"/>
      </w:pPr>
      <w:r>
        <w:t>Practical collaboration workflow</w:t>
      </w:r>
    </w:p>
    <w:p>
      <w:r>
        <w:t>The tools do not automatically share their separate chat histories. For the initial project, use a shared repository and project documents as the bridge. True agent-to-agent orchestration can be explored later if it offers enough value to justify setup and maintenance.</w:t>
      </w:r>
    </w:p>
    <w:p>
      <w:pPr>
        <w:pStyle w:val="Heading2"/>
      </w:pPr>
      <w:r>
        <w:t>Suggested repository structure</w:t>
      </w:r>
    </w:p>
    <w:p>
      <w:r>
        <w:rPr>
          <w:rFonts w:ascii="Consolas" w:hAnsi="Consolas"/>
          <w:sz w:val="18"/>
        </w:rPr>
        <w:t>luxury-living-within-reach/</w:t>
        <w:br/>
        <w:t xml:space="preserve">  README.md</w:t>
        <w:br/>
        <w:t xml:space="preserve">  docs/</w:t>
        <w:br/>
        <w:t xml:space="preserve">    01-master-project-brief.md</w:t>
        <w:br/>
        <w:t xml:space="preserve">    02-design-research-report.md</w:t>
        <w:br/>
        <w:t xml:space="preserve">    03-brand-naming-brief.md</w:t>
        <w:br/>
        <w:t xml:space="preserve">    04-decision-log.md</w:t>
        <w:br/>
        <w:t xml:space="preserve">    05-claims-register.md</w:t>
        <w:br/>
        <w:t xml:space="preserve">    06-content-plan.md</w:t>
        <w:br/>
        <w:t xml:space="preserve">  brand/</w:t>
        <w:br/>
        <w:t xml:space="preserve">    identity/</w:t>
        <w:br/>
        <w:t xml:space="preserve">    imagery/</w:t>
        <w:br/>
        <w:t xml:space="preserve">    virtual-personality/</w:t>
        <w:br/>
        <w:t xml:space="preserve">  website/</w:t>
        <w:br/>
        <w:t xml:space="preserve">  social/</w:t>
        <w:br/>
        <w:t xml:space="preserve">  .cursor/</w:t>
        <w:br/>
        <w:t xml:space="preserve">    rules/</w:t>
        <w:br/>
      </w:r>
    </w:p>
    <w:p>
      <w:pPr>
        <w:pStyle w:val="Heading2"/>
      </w:pPr>
      <w:r>
        <w:t>Decision log template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151419"/>
          </w:tcPr>
          <w:p>
            <w:r>
              <w:rPr>
                <w:b/>
                <w:color w:val="FFFFFF"/>
              </w:rPr>
              <w:t>Date</w:t>
            </w:r>
          </w:p>
        </w:tc>
        <w:tc>
          <w:tcPr>
            <w:tcW w:type="dxa" w:w="2484"/>
            <w:shd w:fill="151419"/>
          </w:tcPr>
          <w:p>
            <w:r>
              <w:rPr>
                <w:b/>
                <w:color w:val="FFFFFF"/>
              </w:rPr>
              <w:t>Decision / question</w:t>
            </w:r>
          </w:p>
        </w:tc>
        <w:tc>
          <w:tcPr>
            <w:tcW w:type="dxa" w:w="2484"/>
            <w:shd w:fill="151419"/>
          </w:tcPr>
          <w:p>
            <w:r>
              <w:rPr>
                <w:b/>
                <w:color w:val="FFFFFF"/>
              </w:rPr>
              <w:t>Status</w:t>
            </w:r>
          </w:p>
        </w:tc>
        <w:tc>
          <w:tcPr>
            <w:tcW w:type="dxa" w:w="2484"/>
            <w:shd w:fill="151419"/>
          </w:tcPr>
          <w:p>
            <w:r>
              <w:rPr>
                <w:b/>
                <w:color w:val="FFFFFF"/>
              </w:rPr>
              <w:t>Rationale / source</w:t>
            </w:r>
          </w:p>
        </w:tc>
      </w:tr>
      <w:tr>
        <w:tc>
          <w:tcPr>
            <w:tcW w:type="dxa" w:w="2484"/>
          </w:tcPr>
          <w:p>
            <w:r>
              <w:t>21 Oct 2026</w:t>
            </w:r>
          </w:p>
        </w:tc>
        <w:tc>
          <w:tcPr>
            <w:tcW w:type="dxa" w:w="2484"/>
          </w:tcPr>
          <w:p>
            <w:r>
              <w:t>Concept is fictional and public-facing</w:t>
            </w:r>
          </w:p>
        </w:tc>
        <w:tc>
          <w:tcPr>
            <w:tcW w:type="dxa" w:w="2484"/>
          </w:tcPr>
          <w:p>
            <w:r>
              <w:t>CONFIRMED</w:t>
            </w:r>
          </w:p>
        </w:tc>
        <w:tc>
          <w:tcPr>
            <w:tcW w:type="dxa" w:w="2484"/>
          </w:tcPr>
          <w:p>
            <w:r>
              <w:t>Portfolio, audience feedback and investor-conversation concept</w:t>
            </w:r>
          </w:p>
        </w:tc>
      </w:tr>
      <w:tr>
        <w:tc>
          <w:tcPr>
            <w:tcW w:type="dxa" w:w="2484"/>
          </w:tcPr>
          <w:p>
            <w:r>
              <w:t>21 Oct 2026</w:t>
            </w:r>
          </w:p>
        </w:tc>
        <w:tc>
          <w:tcPr>
            <w:tcW w:type="dxa" w:w="2484"/>
          </w:tcPr>
          <w:p>
            <w:r>
              <w:t>UK-wide concept</w:t>
            </w:r>
          </w:p>
        </w:tc>
        <w:tc>
          <w:tcPr>
            <w:tcW w:type="dxa" w:w="2484"/>
          </w:tcPr>
          <w:p>
            <w:r>
              <w:t>CONFIRMED</w:t>
            </w:r>
          </w:p>
        </w:tc>
        <w:tc>
          <w:tcPr>
            <w:tcW w:type="dxa" w:w="2484"/>
          </w:tcPr>
          <w:p>
            <w:r>
              <w:t>Use illustrative context; do not imply uniform regional affordability</w:t>
            </w:r>
          </w:p>
        </w:tc>
      </w:tr>
      <w:tr>
        <w:tc>
          <w:tcPr>
            <w:tcW w:type="dxa" w:w="2484"/>
          </w:tcPr>
          <w:p>
            <w:r>
              <w:t>21 Oct 2026</w:t>
            </w:r>
          </w:p>
        </w:tc>
        <w:tc>
          <w:tcPr>
            <w:tcW w:type="dxa" w:w="2484"/>
          </w:tcPr>
          <w:p>
            <w:r>
              <w:t>Three-tier home collection</w:t>
            </w:r>
          </w:p>
        </w:tc>
        <w:tc>
          <w:tcPr>
            <w:tcW w:type="dxa" w:w="2484"/>
          </w:tcPr>
          <w:p>
            <w:r>
              <w:t>CONFIRMED</w:t>
            </w:r>
          </w:p>
        </w:tc>
        <w:tc>
          <w:tcPr>
            <w:tcW w:type="dxa" w:w="2484"/>
          </w:tcPr>
          <w:p>
            <w:r>
              <w:t>Considered starting point; signature; elevated</w:t>
            </w:r>
          </w:p>
        </w:tc>
      </w:tr>
      <w:tr>
        <w:tc>
          <w:tcPr>
            <w:tcW w:type="dxa" w:w="2484"/>
          </w:tcPr>
          <w:p>
            <w:r>
              <w:t>TBD</w:t>
            </w:r>
          </w:p>
        </w:tc>
        <w:tc>
          <w:tcPr>
            <w:tcW w:type="dxa" w:w="2484"/>
          </w:tcPr>
          <w:p>
            <w:r>
              <w:t>Consumer-facing brand name</w:t>
            </w:r>
          </w:p>
        </w:tc>
        <w:tc>
          <w:tcPr>
            <w:tcW w:type="dxa" w:w="2484"/>
          </w:tcPr>
          <w:p>
            <w:r>
              <w:t>OPEN</w:t>
            </w:r>
          </w:p>
        </w:tc>
        <w:tc>
          <w:tcPr>
            <w:tcW w:type="dxa" w:w="2484"/>
          </w:tcPr>
          <w:p>
            <w:r>
              <w:t>Use naming brief</w:t>
            </w:r>
          </w:p>
        </w:tc>
      </w:tr>
      <w:tr>
        <w:tc>
          <w:tcPr>
            <w:tcW w:type="dxa" w:w="2484"/>
          </w:tcPr>
          <w:p>
            <w:r>
              <w:t>TBD</w:t>
            </w:r>
          </w:p>
        </w:tc>
        <w:tc>
          <w:tcPr>
            <w:tcW w:type="dxa" w:w="2484"/>
          </w:tcPr>
          <w:p>
            <w:r>
              <w:t>Creative territory</w:t>
            </w:r>
          </w:p>
        </w:tc>
        <w:tc>
          <w:tcPr>
            <w:tcW w:type="dxa" w:w="2484"/>
          </w:tcPr>
          <w:p>
            <w:r>
              <w:t>OPEN</w:t>
            </w:r>
          </w:p>
        </w:tc>
        <w:tc>
          <w:tcPr>
            <w:tcW w:type="dxa" w:w="2484"/>
          </w:tcPr>
          <w:p>
            <w:r>
              <w:t>Use Mobbin research and visual exploration</w:t>
            </w:r>
          </w:p>
        </w:tc>
      </w:tr>
    </w:tbl>
    <w:p>
      <w:pPr>
        <w:pStyle w:val="Heading2"/>
      </w:pPr>
      <w:r>
        <w:t>Suggested AI handoff note</w:t>
      </w:r>
    </w:p>
    <w:p>
      <w:r>
        <w:t>At the end of each AI work session, ask the tool to return: (1) files created or changed, (2) decisions it recommends, (3) assumptions and sources, (4) unresolved questions, (5) next recommended action. The project owner approves decisions and updates the shared decision log.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2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141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F56E0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14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