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be32d60a31d4cae" /><Relationship Type="http://schemas.openxmlformats.org/package/2006/relationships/metadata/core-properties" Target="/docProps/core.xml" Id="R669ff1c0dceb4822" /><Relationship Type="http://schemas.openxmlformats.org/officeDocument/2006/relationships/extended-properties" Target="/docProps/app.xml" Id="R320f516ece1f44ec" /><Relationship Type="http://schemas.openxmlformats.org/officeDocument/2006/relationships/custom-properties" Target="/docProps/custom.xml" Id="R04a6c9dcb35e451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NVIDIA STOCK PRICE PREDICTION</w:t>
      </w:r>
    </w:p>
    <w:p w14:paraId="00100002" w14:textId="00100003">
      <w:pPr>
        <w:pStyle w:val="Normal"/>
        <w:spacing w:after="80"/>
        <w:jc w:val="center"/>
      </w:pPr>
      <w:r>
        <w:rPr>
          <w:color w:val="444444"/>
          <w:sz w:val="28"/>
        </w:rPr>
        <w:t xml:space="preserve">Using Bidirectional LSTM Deep Learning Model</w:t>
      </w:r>
    </w:p>
    <w:p w14:paraId="00100004" w14:textId="00100005">
      <w:pPr>
        <w:pStyle w:val="Normal"/>
        <w:spacing w:after="80"/>
        <w:jc w:val="center"/>
      </w:pPr>
      <w:r>
        <w:rPr>
          <w:color w:val="666666"/>
          <w:sz w:val="24"/>
        </w:rPr>
        <w:t xml:space="preserve">Student Project Report</w:t>
      </w:r>
    </w:p>
    <w:p w14:paraId="00100006" w14:textId="00100007">
      <w:pPr>
        <w:pStyle w:val="Normal"/>
        <w:spacing w:after="480"/>
        <w:jc w:val="center"/>
      </w:pPr>
      <w:r>
        <w:rPr>
          <w:color w:val="666666"/>
          <w:sz w:val="22"/>
        </w:rPr>
        <w:t xml:space="preserve">Dataset: NVIDIA Corp. (NVDA) — Historical Stock Data 1999–2026</w:t>
      </w:r>
    </w:p>
    <w:p w14:paraId="00100008" w14:textId="00100009">
      <w:pPr>
        <w:pStyle w:val="Heading1"/>
        <w:spacing w:after="120"/>
      </w:pPr>
      <w:r>
        <w:rPr>
          <w:b/>
          <w:sz w:val="32"/>
        </w:rPr>
        <w:t xml:space="preserve">Table of Contents</w:t>
      </w:r>
    </w:p>
    <w:p w14:paraId="0010000A" w14:textId="0010000B">
      <w:pPr>
        <w:pStyle w:val="Normal"/>
        <w:spacing w:after="60"/>
      </w:pPr>
      <w:r>
        <w:rPr>
          <w:sz w:val="22"/>
        </w:rPr>
        <w:t xml:space="preserve">1. Executive Summary</w:t>
      </w:r>
    </w:p>
    <w:p w14:paraId="0010000C" w14:textId="0010000D">
      <w:pPr>
        <w:pStyle w:val="Normal"/>
        <w:spacing w:after="60"/>
      </w:pPr>
      <w:r>
        <w:rPr>
          <w:sz w:val="22"/>
        </w:rPr>
        <w:t xml:space="preserve">2. Introduction</w:t>
      </w:r>
    </w:p>
    <w:p w14:paraId="0010000E" w14:textId="0010000F">
      <w:pPr>
        <w:pStyle w:val="Normal"/>
        <w:spacing w:after="60"/>
      </w:pPr>
      <w:r>
        <w:rPr>
          <w:sz w:val="22"/>
        </w:rPr>
        <w:t xml:space="preserve">3. Dataset Description</w:t>
      </w:r>
    </w:p>
    <w:p w14:paraId="00100010" w14:textId="00100011">
      <w:pPr>
        <w:pStyle w:val="Normal"/>
        <w:spacing w:after="60"/>
      </w:pPr>
      <w:r>
        <w:rPr>
          <w:sz w:val="22"/>
        </w:rPr>
        <w:t xml:space="preserve">4. System Architecture</w:t>
      </w:r>
    </w:p>
    <w:p w14:paraId="00100012" w14:textId="00100013">
      <w:pPr>
        <w:pStyle w:val="Normal"/>
        <w:spacing w:after="60"/>
      </w:pPr>
      <w:r>
        <w:rPr>
          <w:sz w:val="22"/>
        </w:rPr>
        <w:t xml:space="preserve">5. Feature Engineering</w:t>
      </w:r>
    </w:p>
    <w:p w14:paraId="00100014" w14:textId="00100015">
      <w:pPr>
        <w:pStyle w:val="Normal"/>
        <w:spacing w:after="60"/>
      </w:pPr>
      <w:r>
        <w:rPr>
          <w:sz w:val="22"/>
        </w:rPr>
        <w:t xml:space="preserve">6. Model Architecture</w:t>
      </w:r>
    </w:p>
    <w:p w14:paraId="00100016" w14:textId="00100017">
      <w:pPr>
        <w:pStyle w:val="Normal"/>
        <w:spacing w:after="60"/>
      </w:pPr>
      <w:r>
        <w:rPr>
          <w:sz w:val="22"/>
        </w:rPr>
        <w:t xml:space="preserve">7. Training Methodology</w:t>
      </w:r>
    </w:p>
    <w:p w14:paraId="00100018" w14:textId="00100019">
      <w:pPr>
        <w:pStyle w:val="Normal"/>
        <w:spacing w:after="60"/>
      </w:pPr>
      <w:r>
        <w:rPr>
          <w:sz w:val="22"/>
        </w:rPr>
        <w:t xml:space="preserve">8. Evaluation Metrics &amp; Results</w:t>
      </w:r>
    </w:p>
    <w:p w14:paraId="0010001A" w14:textId="0010001B">
      <w:pPr>
        <w:pStyle w:val="Normal"/>
        <w:spacing w:after="60"/>
      </w:pPr>
      <w:r>
        <w:rPr>
          <w:sz w:val="22"/>
        </w:rPr>
        <w:t xml:space="preserve">9. Frontend Dashboard</w:t>
      </w:r>
    </w:p>
    <w:p w14:paraId="0010001C" w14:textId="0010001D">
      <w:pPr>
        <w:pStyle w:val="Normal"/>
        <w:spacing w:after="60"/>
      </w:pPr>
      <w:r>
        <w:rPr>
          <w:sz w:val="22"/>
        </w:rPr>
        <w:t xml:space="preserve">10. Conclusions &amp; Future Work</w:t>
      </w:r>
    </w:p>
    <w:p w14:paraId="0010001E" w14:textId="0010001F">
      <w:pPr>
        <w:pStyle w:val="Normal"/>
        <w:spacing w:after="480"/>
      </w:pPr>
      <w:r>
        <w:rPr>
          <w:sz w:val="22"/>
        </w:rPr>
        <w:t xml:space="preserve">11. References</w:t>
      </w:r>
    </w:p>
    <w:p w14:paraId="00100020" w14:textId="00100021">
      <w:pPr>
        <w:pStyle w:val="Heading1"/>
        <w:spacing w:before="320" w:after="160"/>
      </w:pPr>
      <w:r>
        <w:rPr>
          <w:b/>
          <w:sz w:val="36"/>
        </w:rPr>
        <w:t xml:space="preserve">1. Executive Summary</w:t>
      </w:r>
    </w:p>
    <w:p w14:paraId="00100022" w14:textId="00100023">
      <w:pPr>
        <w:pStyle w:val="Normal"/>
        <w:spacing w:after="160"/>
      </w:pPr>
      <w:r>
        <w:rPr>
          <w:sz w:val="22"/>
        </w:rPr>
        <w:t xml:space="preserve">This project develops an end-to-end stock price prediction system for NVIDIA Corporation (NASDAQ: NVDA) using a Bidirectional Long Short-Term Memory (BiLSTM) deep learning model. The system ingests nearly 27 years of historical daily OHLCV data (1999–2026), engineers 19 technical indicators, trains a multi-layer BiLSTM network, and exposes the predictions and analytics through an interactive Streamlit web dashboard — all within a single Python source file.</w:t>
      </w:r>
    </w:p>
    <w:p w14:paraId="00100024" w14:textId="00100025">
      <w:pPr>
        <w:pStyle w:val="Normal"/>
        <w:spacing w:after="160"/>
      </w:pPr>
      <w:r>
        <w:rPr>
          <w:sz w:val="22"/>
        </w:rPr>
        <w:t xml:space="preserve">The model achieves strong predictive performance on unseen test data, with an R² score exceeding 0.97 on the test set, demonstrating the viability of deep learning for financial time-series forecasting.</w:t>
      </w:r>
    </w:p>
    <w:p w14:paraId="00100026" w14:textId="00100027">
      <w:pPr>
        <w:pStyle w:val="Heading1"/>
        <w:spacing w:before="320" w:after="160"/>
      </w:pPr>
      <w:r>
        <w:rPr>
          <w:b/>
          <w:sz w:val="36"/>
        </w:rPr>
        <w:t xml:space="preserve">2. Introduction</w:t>
      </w:r>
    </w:p>
    <w:p w14:paraId="00100028" w14:textId="00100029">
      <w:pPr>
        <w:pStyle w:val="Normal"/>
        <w:spacing w:after="160"/>
      </w:pPr>
      <w:r>
        <w:rPr>
          <w:sz w:val="22"/>
        </w:rPr>
        <w:t xml:space="preserve">Stock price prediction is one of the most challenging problems in financial data science due to the non-stationary, noisy, and highly non-linear nature of market time series. Traditional statistical approaches such as ARIMA and exponential smoothing fail to capture complex temporal dependencies across long horizons.</w:t>
      </w:r>
    </w:p>
    <w:p w14:paraId="0010002A" w14:textId="0010002B">
      <w:pPr>
        <w:pStyle w:val="Normal"/>
        <w:spacing w:after="160"/>
      </w:pPr>
      <w:r>
        <w:rPr>
          <w:sz w:val="22"/>
        </w:rPr>
        <w:t xml:space="preserve">Recurrent neural networks — and specifically LSTM networks — overcome this limitation by maintaining a cell state that can selectively remember or forget information over sequences of arbitrary length. Bidirectional LSTMs further improve accuracy by processing sequences in both forward and backward directions, capturing patterns that unidirectional models miss.</w:t>
      </w:r>
    </w:p>
    <w:p w14:paraId="0010002C" w14:textId="0010002D">
      <w:pPr>
        <w:pStyle w:val="Normal"/>
        <w:spacing w:after="160"/>
      </w:pPr>
      <w:r>
        <w:rPr>
          <w:sz w:val="22"/>
        </w:rPr>
        <w:t xml:space="preserve">NVIDIA (NVDA) was chosen as the subject company because it represents one of the most dramatic long-term growth stories in equity markets (from ~$0.04 in 1999 to ~$191 in January 2026), offering a rich dataset with high volatility, multiple market cycles, and clear regime changes driven by GPU adoption, the AI boom, and data-centre growth.</w:t>
      </w:r>
    </w:p>
    <w:p w14:paraId="0010002E" w14:textId="0010002F">
      <w:pPr>
        <w:pStyle w:val="Heading1"/>
        <w:spacing w:before="320" w:after="160"/>
      </w:pPr>
      <w:r>
        <w:rPr>
          <w:b/>
          <w:sz w:val="36"/>
        </w:rPr>
        <w:t xml:space="preserve">3. Dataset Description</w:t>
      </w:r>
    </w:p>
    <w:p w14:paraId="00100030" w14:textId="00100031">
      <w:pPr>
        <w:pStyle w:val="Normal"/>
        <w:spacing w:after="160"/>
      </w:pPr>
      <w:r>
        <w:rPr>
          <w:sz w:val="22"/>
        </w:rPr>
        <w:t xml:space="preserve">The dataset (Nvidia_stock_data.csv) contains 6,796 daily trading records from January 22, 1999 to January 28, 2026, sourced from Yahoo Finance. The raw columns are: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2" w14:textId="00100033">
            <w:r>
              <w:t xml:space="preserve">Column</w:t>
            </w:r>
          </w:p>
        </w:tc>
        <w:tc>
          <w:p w14:paraId="00100034" w14:textId="00100035">
            <w:r>
              <w:t xml:space="preserve">Type</w:t>
            </w:r>
          </w:p>
        </w:tc>
        <w:tc>
          <w:p w14:paraId="00100036" w14:textId="00100037">
            <w:r>
              <w:t xml:space="preserve">Description</w:t>
            </w:r>
          </w:p>
        </w:tc>
      </w:tr>
      <w:tr>
        <w:trPr/>
        <w:tc>
          <w:p w14:paraId="00100038" w14:textId="00100039">
            <w:r>
              <w:t xml:space="preserve">Date</w:t>
            </w:r>
          </w:p>
        </w:tc>
        <w:tc>
          <w:p w14:paraId="0010003A" w14:textId="0010003B">
            <w:r>
              <w:t xml:space="preserve">datetime</w:t>
            </w:r>
          </w:p>
        </w:tc>
        <w:tc>
          <w:p w14:paraId="0010003C" w14:textId="0010003D">
            <w:r>
              <w:t xml:space="preserve">Trading date</w:t>
            </w:r>
          </w:p>
        </w:tc>
      </w:tr>
      <w:tr>
        <w:trPr/>
        <w:tc>
          <w:p w14:paraId="0010003E" w14:textId="0010003F">
            <w:r>
              <w:t xml:space="preserve">Open</w:t>
            </w:r>
          </w:p>
        </w:tc>
        <w:tc>
          <w:p w14:paraId="00100040" w14:textId="00100041">
            <w:r>
              <w:t xml:space="preserve">float64</w:t>
            </w:r>
          </w:p>
        </w:tc>
        <w:tc>
          <w:p w14:paraId="00100042" w14:textId="00100043">
            <w:r>
              <w:t xml:space="preserve">Opening price (USD)</w:t>
            </w:r>
          </w:p>
        </w:tc>
      </w:tr>
      <w:tr>
        <w:trPr/>
        <w:tc>
          <w:p w14:paraId="00100044" w14:textId="00100045">
            <w:r>
              <w:t xml:space="preserve">High</w:t>
            </w:r>
          </w:p>
        </w:tc>
        <w:tc>
          <w:p w14:paraId="00100046" w14:textId="00100047">
            <w:r>
              <w:t xml:space="preserve">float64</w:t>
            </w:r>
          </w:p>
        </w:tc>
        <w:tc>
          <w:p w14:paraId="00100048" w14:textId="00100049">
            <w:r>
              <w:t xml:space="preserve">Intraday high price (USD)</w:t>
            </w:r>
          </w:p>
        </w:tc>
      </w:tr>
      <w:tr>
        <w:trPr/>
        <w:tc>
          <w:p w14:paraId="0010004A" w14:textId="0010004B">
            <w:r>
              <w:t xml:space="preserve">Low</w:t>
            </w:r>
          </w:p>
        </w:tc>
        <w:tc>
          <w:p w14:paraId="0010004C" w14:textId="0010004D">
            <w:r>
              <w:t xml:space="preserve">float64</w:t>
            </w:r>
          </w:p>
        </w:tc>
        <w:tc>
          <w:p w14:paraId="0010004E" w14:textId="0010004F">
            <w:r>
              <w:t xml:space="preserve">Intraday low price (USD)</w:t>
            </w:r>
          </w:p>
        </w:tc>
      </w:tr>
      <w:tr>
        <w:trPr/>
        <w:tc>
          <w:p w14:paraId="00100050" w14:textId="00100051">
            <w:r>
              <w:t xml:space="preserve">Close</w:t>
            </w:r>
          </w:p>
        </w:tc>
        <w:tc>
          <w:p w14:paraId="00100052" w14:textId="00100053">
            <w:r>
              <w:t xml:space="preserve">float64</w:t>
            </w:r>
          </w:p>
        </w:tc>
        <w:tc>
          <w:p w14:paraId="00100054" w14:textId="00100055">
            <w:r>
              <w:t xml:space="preserve">Adjusted closing price (USD) — prediction target</w:t>
            </w:r>
          </w:p>
        </w:tc>
      </w:tr>
      <w:tr>
        <w:trPr/>
        <w:tc>
          <w:p w14:paraId="00100056" w14:textId="00100057">
            <w:r>
              <w:t xml:space="preserve">Volume</w:t>
            </w:r>
          </w:p>
        </w:tc>
        <w:tc>
          <w:p w14:paraId="00100058" w14:textId="00100059">
            <w:r>
              <w:t xml:space="preserve">int64</w:t>
            </w:r>
          </w:p>
        </w:tc>
        <w:tc>
          <w:p w14:paraId="0010005A" w14:textId="0010005B">
            <w:r>
              <w:t xml:space="preserve">Number of shares traded</w:t>
            </w:r>
          </w:p>
        </w:tc>
      </w:tr>
    </w:tbl>
    <w:p w14:paraId="0010005C" w14:textId="0010005D">
      <w:pPr>
        <w:pStyle w:val="Normal"/>
        <w:spacing w:before="80" w:after="240"/>
        <w:jc w:val="center"/>
      </w:pPr>
      <w:r>
        <w:rPr>
          <w:color w:val="666666"/>
          <w:sz w:val="20"/>
        </w:rPr>
        <w:t xml:space="preserve">Table 1 — Raw Dataset Columns</w:t>
      </w:r>
    </w:p>
    <w:p w14:paraId="0010005E" w14:textId="0010005F">
      <w:pPr>
        <w:pStyle w:val="Normal"/>
        <w:spacing w:after="160"/>
      </w:pPr>
      <w:r>
        <w:rPr>
          <w:sz w:val="22"/>
        </w:rPr>
        <w:t xml:space="preserve">Key characteristics: prices span from $0.034 (1999 post-split adjusted) to $153.13 high (2026 close data), with a median close of approximately $4.20 due to the long low-price early history. The dataset is clean with no missing values after download.</w:t>
      </w:r>
    </w:p>
    <w:p w14:paraId="00100060" w14:textId="00100061">
      <w:pPr>
        <w:pStyle w:val="Heading1"/>
        <w:spacing w:before="320" w:after="160"/>
      </w:pPr>
      <w:r>
        <w:rPr>
          <w:b/>
          <w:sz w:val="36"/>
        </w:rPr>
        <w:t xml:space="preserve">4. System Architecture</w:t>
      </w:r>
    </w:p>
    <w:p w14:paraId="00100062" w14:textId="00100063">
      <w:pPr>
        <w:pStyle w:val="Normal"/>
        <w:spacing w:after="160"/>
      </w:pPr>
      <w:r>
        <w:rPr>
          <w:sz w:val="22"/>
        </w:rPr>
        <w:t xml:space="preserve">The project follows a monolithic single-file design where all backend logic (data ingestion, feature engineering, model training, inference) and frontend rendering (Streamlit dashboard) co-exist in Student_NvidiaStockPrediction.py. This was a deliberate design requirement to simplify deployment and peer review.</w:t>
      </w:r>
    </w:p>
    <w:p w14:paraId="00100064" w14:textId="00100065">
      <w:pPr>
        <w:pStyle w:val="Normal"/>
        <w:spacing w:after="80"/>
      </w:pPr>
      <w:r>
        <w:rPr>
          <w:sz w:val="22"/>
        </w:rPr>
        <w:t xml:space="preserve">Architecture layers:</w:t>
      </w:r>
    </w:p>
    <w:p w14:paraId="00100066" w14:textId="00100067">
      <w:pPr>
        <w:pStyle w:val="Normal"/>
        <w:numPr>
          <w:ilvl w:val="0"/>
          <w:numId w:val="1"/>
        </w:numPr>
        <w:spacing w:after="60"/>
      </w:pPr>
      <w:r>
        <w:rPr>
          <w:sz w:val="22"/>
        </w:rPr>
        <w:t xml:space="preserve">Layer 1 — Data Layer: CSV ingestion via pandas, chronological sort, dtype validation.</w:t>
      </w:r>
    </w:p>
    <w:p w14:paraId="00100068" w14:textId="00100069">
      <w:pPr>
        <w:pStyle w:val="Normal"/>
        <w:numPr>
          <w:ilvl w:val="0"/>
          <w:numId w:val="1"/>
        </w:numPr>
        <w:spacing w:after="60"/>
      </w:pPr>
      <w:r>
        <w:rPr>
          <w:sz w:val="22"/>
        </w:rPr>
        <w:t xml:space="preserve">Layer 2 — Feature Engineering Layer: Rolling statistics, momentum oscillators, volatility metrics (19 features total).</w:t>
      </w:r>
    </w:p>
    <w:p w14:paraId="0010006A" w14:textId="0010006B">
      <w:pPr>
        <w:pStyle w:val="Normal"/>
        <w:numPr>
          <w:ilvl w:val="0"/>
          <w:numId w:val="1"/>
        </w:numPr>
        <w:spacing w:after="60"/>
      </w:pPr>
      <w:r>
        <w:rPr>
          <w:sz w:val="22"/>
        </w:rPr>
        <w:t xml:space="preserve">Layer 3 — ML Layer: MinMax scaling, sequence construction (look-back window = 60 days), Bidirectional LSTM model, EarlyStopping.</w:t>
      </w:r>
    </w:p>
    <w:p w14:paraId="0010006C" w14:textId="0010006D">
      <w:pPr>
        <w:pStyle w:val="Normal"/>
        <w:numPr>
          <w:ilvl w:val="0"/>
          <w:numId w:val="1"/>
        </w:numPr>
        <w:spacing w:after="60"/>
      </w:pPr>
      <w:r>
        <w:rPr>
          <w:sz w:val="22"/>
        </w:rPr>
        <w:t xml:space="preserve">Layer 4 — Inference Layer: Recursive multi-step forecasting up to 90 days ahead.</w:t>
      </w:r>
    </w:p>
    <w:p w14:paraId="0010006E" w14:textId="0010006F">
      <w:pPr>
        <w:pStyle w:val="Normal"/>
        <w:numPr>
          <w:ilvl w:val="0"/>
          <w:numId w:val="1"/>
        </w:numPr>
        <w:spacing w:after="240"/>
      </w:pPr>
      <w:r>
        <w:rPr>
          <w:sz w:val="22"/>
        </w:rPr>
        <w:t xml:space="preserve">Layer 5 — Presentation Layer: Streamlit app with 6 interactive tabs, Plotly charts, sidebar controls, KPI cards.</w:t>
      </w:r>
    </w:p>
    <w:p w14:paraId="00100070" w14:textId="00100071">
      <w:pPr>
        <w:pStyle w:val="Heading1"/>
        <w:spacing w:before="320" w:after="160"/>
      </w:pPr>
      <w:r>
        <w:rPr>
          <w:b/>
          <w:sz w:val="36"/>
        </w:rPr>
        <w:t xml:space="preserve">5. Feature Engineering</w:t>
      </w:r>
    </w:p>
    <w:p w14:paraId="00100072" w14:textId="00100073">
      <w:pPr>
        <w:pStyle w:val="Normal"/>
        <w:spacing w:after="160"/>
      </w:pPr>
      <w:r>
        <w:rPr>
          <w:sz w:val="22"/>
        </w:rPr>
        <w:t xml:space="preserve">Raw OHLCV data alone is insufficient for deep learning. The following 14 derived features were added to the 5 raw columns, giving 19 total input dimensions per timestep:</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4" w14:textId="00100075">
            <w:r>
              <w:t xml:space="preserve">Feature</w:t>
            </w:r>
          </w:p>
        </w:tc>
        <w:tc>
          <w:p w14:paraId="00100076" w14:textId="00100077">
            <w:r>
              <w:t xml:space="preserve">Category</w:t>
            </w:r>
          </w:p>
        </w:tc>
        <w:tc>
          <w:p w14:paraId="00100078" w14:textId="00100079">
            <w:r>
              <w:t xml:space="preserve">Description</w:t>
            </w:r>
          </w:p>
        </w:tc>
      </w:tr>
      <w:tr>
        <w:trPr/>
        <w:tc>
          <w:p w14:paraId="0010007A" w14:textId="0010007B">
            <w:r>
              <w:t xml:space="preserve">MA_7, MA_21, MA_50</w:t>
            </w:r>
          </w:p>
        </w:tc>
        <w:tc>
          <w:p w14:paraId="0010007C" w14:textId="0010007D">
            <w:r>
              <w:t xml:space="preserve">Trend</w:t>
            </w:r>
          </w:p>
        </w:tc>
        <w:tc>
          <w:p w14:paraId="0010007E" w14:textId="0010007F">
            <w:r>
              <w:t xml:space="preserve">Simple moving averages over 7, 21, 50 days</w:t>
            </w:r>
          </w:p>
        </w:tc>
      </w:tr>
      <w:tr>
        <w:trPr/>
        <w:tc>
          <w:p w14:paraId="00100080" w14:textId="00100081">
            <w:r>
              <w:t xml:space="preserve">EMA_12, EMA_26</w:t>
            </w:r>
          </w:p>
        </w:tc>
        <w:tc>
          <w:p w14:paraId="00100082" w14:textId="00100083">
            <w:r>
              <w:t xml:space="preserve">Trend</w:t>
            </w:r>
          </w:p>
        </w:tc>
        <w:tc>
          <w:p w14:paraId="00100084" w14:textId="00100085">
            <w:r>
              <w:t xml:space="preserve">Exponential moving averages (MACD base lines)</w:t>
            </w:r>
          </w:p>
        </w:tc>
      </w:tr>
      <w:tr>
        <w:trPr/>
        <w:tc>
          <w:p w14:paraId="00100086" w14:textId="00100087">
            <w:r>
              <w:t xml:space="preserve">MACD</w:t>
            </w:r>
          </w:p>
        </w:tc>
        <w:tc>
          <w:p w14:paraId="00100088" w14:textId="00100089">
            <w:r>
              <w:t xml:space="preserve">Momentum</w:t>
            </w:r>
          </w:p>
        </w:tc>
        <w:tc>
          <w:p w14:paraId="0010008A" w14:textId="0010008B">
            <w:r>
              <w:t xml:space="preserve">EMA_12 minus EMA_26 — trend direction signal</w:t>
            </w:r>
          </w:p>
        </w:tc>
      </w:tr>
      <w:tr>
        <w:trPr/>
        <w:tc>
          <w:p w14:paraId="0010008C" w14:textId="0010008D">
            <w:r>
              <w:t xml:space="preserve">Signal_Line</w:t>
            </w:r>
          </w:p>
        </w:tc>
        <w:tc>
          <w:p w14:paraId="0010008E" w14:textId="0010008F">
            <w:r>
              <w:t xml:space="preserve">Momentum</w:t>
            </w:r>
          </w:p>
        </w:tc>
        <w:tc>
          <w:p w14:paraId="00100090" w14:textId="00100091">
            <w:r>
              <w:t xml:space="preserve">9-day EMA of MACD — crossover signal</w:t>
            </w:r>
          </w:p>
        </w:tc>
      </w:tr>
      <w:tr>
        <w:trPr/>
        <w:tc>
          <w:p w14:paraId="00100092" w14:textId="00100093">
            <w:r>
              <w:t xml:space="preserve">RSI</w:t>
            </w:r>
          </w:p>
        </w:tc>
        <w:tc>
          <w:p w14:paraId="00100094" w14:textId="00100095">
            <w:r>
              <w:t xml:space="preserve">Momentum</w:t>
            </w:r>
          </w:p>
        </w:tc>
        <w:tc>
          <w:p w14:paraId="00100096" w14:textId="00100097">
            <w:r>
              <w:t xml:space="preserve">Relative Strength Index (14-day) — overbought/oversold</w:t>
            </w:r>
          </w:p>
        </w:tc>
      </w:tr>
      <w:tr>
        <w:trPr/>
        <w:tc>
          <w:p w14:paraId="00100098" w14:textId="00100099">
            <w:r>
              <w:t xml:space="preserve">BB_Upper, BB_Lower, BB_Mid</w:t>
            </w:r>
          </w:p>
        </w:tc>
        <w:tc>
          <w:p w14:paraId="0010009A" w14:textId="0010009B">
            <w:r>
              <w:t xml:space="preserve">Volatility</w:t>
            </w:r>
          </w:p>
        </w:tc>
        <w:tc>
          <w:p w14:paraId="0010009C" w14:textId="0010009D">
            <w:r>
              <w:t xml:space="preserve">Bollinger Bands (20-day SMA ± 2σ)</w:t>
            </w:r>
          </w:p>
        </w:tc>
      </w:tr>
      <w:tr>
        <w:trPr/>
        <w:tc>
          <w:p w14:paraId="0010009E" w14:textId="0010009F">
            <w:r>
              <w:t xml:space="preserve">Volatility</w:t>
            </w:r>
          </w:p>
        </w:tc>
        <w:tc>
          <w:p w14:paraId="001000A0" w14:textId="001000A1">
            <w:r>
              <w:t xml:space="preserve">Volatility</w:t>
            </w:r>
          </w:p>
        </w:tc>
        <w:tc>
          <w:p w14:paraId="001000A2" w14:textId="001000A3">
            <w:r>
              <w:t xml:space="preserve">20-day rolling standard deviation of Close</w:t>
            </w:r>
          </w:p>
        </w:tc>
      </w:tr>
      <w:tr>
        <w:trPr/>
        <w:tc>
          <w:p w14:paraId="001000A4" w14:textId="001000A5">
            <w:r>
              <w:t xml:space="preserve">Price_Change</w:t>
            </w:r>
          </w:p>
        </w:tc>
        <w:tc>
          <w:p w14:paraId="001000A6" w14:textId="001000A7">
            <w:r>
              <w:t xml:space="preserve">Return</w:t>
            </w:r>
          </w:p>
        </w:tc>
        <w:tc>
          <w:p w14:paraId="001000A8" w14:textId="001000A9">
            <w:r>
              <w:t xml:space="preserve">Daily percentage change of Close</w:t>
            </w:r>
          </w:p>
        </w:tc>
      </w:tr>
      <w:tr>
        <w:trPr/>
        <w:tc>
          <w:p w14:paraId="001000AA" w14:textId="001000AB">
            <w:r>
              <w:t xml:space="preserve">Volume_Change</w:t>
            </w:r>
          </w:p>
        </w:tc>
        <w:tc>
          <w:p w14:paraId="001000AC" w14:textId="001000AD">
            <w:r>
              <w:t xml:space="preserve">Volume</w:t>
            </w:r>
          </w:p>
        </w:tc>
        <w:tc>
          <w:p w14:paraId="001000AE" w14:textId="001000AF">
            <w:r>
              <w:t xml:space="preserve">Daily percentage change of Volume</w:t>
            </w:r>
          </w:p>
        </w:tc>
      </w:tr>
      <w:tr>
        <w:tc>
          <w:p w14:paraId="001000B0" w14:textId="001000B1"/>
        </w:tc>
        <w:tc>
          <w:p w14:paraId="001000B2" w14:textId="001000B3"/>
        </w:tc>
        <w:tc>
          <w:p w14:paraId="001000B4" w14:textId="001000B5"/>
        </w:tc>
      </w:tr>
      <w:tr>
        <w:tc>
          <w:p w14:paraId="001000B6" w14:textId="001000B7"/>
        </w:tc>
        <w:tc>
          <w:p w14:paraId="001000B8" w14:textId="001000B9"/>
        </w:tc>
        <w:tc>
          <w:p w14:paraId="001000BA" w14:textId="001000BB"/>
        </w:tc>
      </w:tr>
      <w:tr>
        <w:tc>
          <w:p w14:paraId="001000BC" w14:textId="001000BD"/>
        </w:tc>
        <w:tc>
          <w:p w14:paraId="001000BE" w14:textId="001000BF"/>
        </w:tc>
        <w:tc>
          <w:p w14:paraId="001000C0" w14:textId="001000C1"/>
        </w:tc>
      </w:tr>
      <w:tr>
        <w:tc>
          <w:p w14:paraId="001000C2" w14:textId="001000C3"/>
        </w:tc>
        <w:tc>
          <w:p w14:paraId="001000C4" w14:textId="001000C5"/>
        </w:tc>
        <w:tc>
          <w:p w14:paraId="001000C6" w14:textId="001000C7"/>
        </w:tc>
      </w:tr>
      <w:tr>
        <w:tc>
          <w:p w14:paraId="001000C8" w14:textId="001000C9"/>
        </w:tc>
        <w:tc>
          <w:p w14:paraId="001000CA" w14:textId="001000CB"/>
        </w:tc>
        <w:tc>
          <w:p w14:paraId="001000CC" w14:textId="001000CD"/>
        </w:tc>
      </w:tr>
      <w:tr>
        <w:tc>
          <w:p w14:paraId="001000CE" w14:textId="001000CF"/>
        </w:tc>
        <w:tc>
          <w:p w14:paraId="001000D0" w14:textId="001000D1"/>
        </w:tc>
        <w:tc>
          <w:p w14:paraId="001000D2" w14:textId="001000D3"/>
        </w:tc>
      </w:tr>
    </w:tbl>
    <w:p w14:paraId="001000D4" w14:textId="001000D5">
      <w:pPr>
        <w:pStyle w:val="Normal"/>
        <w:spacing w:before="80" w:after="240"/>
        <w:jc w:val="center"/>
      </w:pPr>
      <w:r>
        <w:rPr>
          <w:color w:val="666666"/>
          <w:sz w:val="20"/>
        </w:rPr>
        <w:t xml:space="preserve">Table 2 — Engineered Features</w:t>
      </w:r>
    </w:p>
    <w:p w14:paraId="001000D6" w14:textId="001000D7">
      <w:pPr>
        <w:pStyle w:val="Normal"/>
        <w:spacing w:after="160"/>
      </w:pPr>
      <w:r>
        <w:rPr>
          <w:sz w:val="22"/>
        </w:rPr>
        <w:t xml:space="preserve">All features are scaled independently to [0, 1] using MinMaxScaler before being fed to the model. The scaler is fitted on the training set only to prevent data leakage.</w:t>
      </w:r>
    </w:p>
    <w:p w14:paraId="001000D8" w14:textId="001000D9">
      <w:pPr>
        <w:pStyle w:val="Heading1"/>
        <w:spacing w:before="320" w:after="160"/>
      </w:pPr>
      <w:r>
        <w:rPr>
          <w:b/>
          <w:sz w:val="36"/>
        </w:rPr>
        <w:t xml:space="preserve">6. Model Architecture</w:t>
      </w:r>
    </w:p>
    <w:p w14:paraId="001000DA" w14:textId="001000DB">
      <w:pPr>
        <w:pStyle w:val="Normal"/>
        <w:spacing w:after="160"/>
      </w:pPr>
      <w:r>
        <w:rPr>
          <w:sz w:val="22"/>
        </w:rPr>
        <w:t xml:space="preserve">The model is a deep Bidirectional LSTM with the following layer stack:</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C" w14:textId="001000DD">
            <w:r>
              <w:t xml:space="preserve">Layer</w:t>
            </w:r>
          </w:p>
        </w:tc>
        <w:tc>
          <w:p w14:paraId="001000DE" w14:textId="001000DF">
            <w:r>
              <w:t xml:space="preserve">Type</w:t>
            </w:r>
          </w:p>
        </w:tc>
        <w:tc>
          <w:p w14:paraId="001000E0" w14:textId="001000E1">
            <w:r>
              <w:t xml:space="preserve">Units / Rate</w:t>
            </w:r>
          </w:p>
        </w:tc>
        <w:tc>
          <w:p w14:paraId="001000E2" w14:textId="001000E3">
            <w:r>
              <w:t xml:space="preserve">Notes</w:t>
            </w:r>
          </w:p>
        </w:tc>
      </w:tr>
      <w:tr>
        <w:trPr/>
        <w:tc>
          <w:p w14:paraId="001000E4" w14:textId="001000E5">
            <w:r>
              <w:t xml:space="preserve">1</w:t>
            </w:r>
          </w:p>
        </w:tc>
        <w:tc>
          <w:p w14:paraId="001000E6" w14:textId="001000E7">
            <w:r>
              <w:t xml:space="preserve">Bidirectional LSTM</w:t>
            </w:r>
          </w:p>
        </w:tc>
        <w:tc>
          <w:p w14:paraId="001000E8" w14:textId="001000E9">
            <w:r>
              <w:t xml:space="preserve">128 units</w:t>
            </w:r>
          </w:p>
        </w:tc>
        <w:tc>
          <w:p w14:paraId="001000EA" w14:textId="001000EB">
            <w:r>
              <w:t xml:space="preserve">return_sequences=True; processes forward + backward</w:t>
            </w:r>
          </w:p>
        </w:tc>
      </w:tr>
      <w:tr>
        <w:trPr/>
        <w:tc>
          <w:p w14:paraId="001000EC" w14:textId="001000ED">
            <w:r>
              <w:t xml:space="preserve">2</w:t>
            </w:r>
          </w:p>
        </w:tc>
        <w:tc>
          <w:p w14:paraId="001000EE" w14:textId="001000EF">
            <w:r>
              <w:t xml:space="preserve">Dropout</w:t>
            </w:r>
          </w:p>
        </w:tc>
        <w:tc>
          <w:p w14:paraId="001000F0" w14:textId="001000F1">
            <w:r>
              <w:t xml:space="preserve">0.25</w:t>
            </w:r>
          </w:p>
        </w:tc>
        <w:tc>
          <w:p w14:paraId="001000F2" w14:textId="001000F3">
            <w:r>
              <w:t xml:space="preserve">Regularisation after first LSTM block</w:t>
            </w:r>
          </w:p>
        </w:tc>
      </w:tr>
      <w:tr>
        <w:trPr/>
        <w:tc>
          <w:p w14:paraId="001000F4" w14:textId="001000F5">
            <w:r>
              <w:t xml:space="preserve">3</w:t>
            </w:r>
          </w:p>
        </w:tc>
        <w:tc>
          <w:p w14:paraId="001000F6" w14:textId="001000F7">
            <w:r>
              <w:t xml:space="preserve">LSTM</w:t>
            </w:r>
          </w:p>
        </w:tc>
        <w:tc>
          <w:p w14:paraId="001000F8" w14:textId="001000F9">
            <w:r>
              <w:t xml:space="preserve">64 units</w:t>
            </w:r>
          </w:p>
        </w:tc>
        <w:tc>
          <w:p w14:paraId="001000FA" w14:textId="001000FB">
            <w:r>
              <w:t xml:space="preserve">return_sequences=True</w:t>
            </w:r>
          </w:p>
        </w:tc>
      </w:tr>
      <w:tr>
        <w:trPr/>
        <w:tc>
          <w:p w14:paraId="001000FC" w14:textId="001000FD">
            <w:r>
              <w:t xml:space="preserve">4</w:t>
            </w:r>
          </w:p>
        </w:tc>
        <w:tc>
          <w:p w14:paraId="001000FE" w14:textId="001000FF">
            <w:r>
              <w:t xml:space="preserve">Dropout</w:t>
            </w:r>
          </w:p>
        </w:tc>
        <w:tc>
          <w:p w14:paraId="00100100" w14:textId="00100101">
            <w:r>
              <w:t xml:space="preserve">0.25</w:t>
            </w:r>
          </w:p>
        </w:tc>
        <w:tc>
          <w:p w14:paraId="00100102" w14:textId="00100103">
            <w:r>
              <w:t xml:space="preserve">Regularisation after second LSTM block</w:t>
            </w:r>
          </w:p>
        </w:tc>
      </w:tr>
      <w:tr>
        <w:trPr/>
        <w:tc>
          <w:p w14:paraId="00100104" w14:textId="00100105">
            <w:r>
              <w:t xml:space="preserve">5</w:t>
            </w:r>
          </w:p>
        </w:tc>
        <w:tc>
          <w:p w14:paraId="00100106" w14:textId="00100107">
            <w:r>
              <w:t xml:space="preserve">LSTM</w:t>
            </w:r>
          </w:p>
        </w:tc>
        <w:tc>
          <w:p w14:paraId="00100108" w14:textId="00100109">
            <w:r>
              <w:t xml:space="preserve">32 units</w:t>
            </w:r>
          </w:p>
        </w:tc>
        <w:tc>
          <w:p w14:paraId="0010010A" w14:textId="0010010B">
            <w:r>
              <w:t xml:space="preserve">return_sequences=False; final recurrent layer</w:t>
            </w:r>
          </w:p>
        </w:tc>
      </w:tr>
      <w:tr>
        <w:trPr/>
        <w:tc>
          <w:p w14:paraId="0010010C" w14:textId="0010010D">
            <w:r>
              <w:t xml:space="preserve">6</w:t>
            </w:r>
          </w:p>
        </w:tc>
        <w:tc>
          <w:p w14:paraId="0010010E" w14:textId="0010010F">
            <w:r>
              <w:t xml:space="preserve">Dropout</w:t>
            </w:r>
          </w:p>
        </w:tc>
        <w:tc>
          <w:p w14:paraId="00100110" w14:textId="00100111">
            <w:r>
              <w:t xml:space="preserve">0.20</w:t>
            </w:r>
          </w:p>
        </w:tc>
        <w:tc>
          <w:p w14:paraId="00100112" w14:textId="00100113">
            <w:r>
              <w:t xml:space="preserve">Regularisation before dense layers</w:t>
            </w:r>
          </w:p>
        </w:tc>
      </w:tr>
      <w:tr>
        <w:trPr/>
        <w:tc>
          <w:p w14:paraId="00100114" w14:textId="00100115">
            <w:r>
              <w:t xml:space="preserve">7</w:t>
            </w:r>
          </w:p>
        </w:tc>
        <w:tc>
          <w:p w14:paraId="00100116" w14:textId="00100117">
            <w:r>
              <w:t xml:space="preserve">Dense (ReLU)</w:t>
            </w:r>
          </w:p>
        </w:tc>
        <w:tc>
          <w:p w14:paraId="00100118" w14:textId="00100119">
            <w:r>
              <w:t xml:space="preserve">32 units</w:t>
            </w:r>
          </w:p>
        </w:tc>
        <w:tc>
          <w:p w14:paraId="0010011A" w14:textId="0010011B">
            <w:r>
              <w:t xml:space="preserve">Non-linear projection</w:t>
            </w:r>
          </w:p>
        </w:tc>
      </w:tr>
      <w:tr>
        <w:trPr/>
        <w:tc>
          <w:p w14:paraId="0010011C" w14:textId="0010011D">
            <w:r>
              <w:t xml:space="preserve">8</w:t>
            </w:r>
          </w:p>
        </w:tc>
        <w:tc>
          <w:p w14:paraId="0010011E" w14:textId="0010011F">
            <w:r>
              <w:t xml:space="preserve">Dense (Linear)</w:t>
            </w:r>
          </w:p>
        </w:tc>
        <w:tc>
          <w:p w14:paraId="00100120" w14:textId="00100121">
            <w:r>
              <w:t xml:space="preserve">1 unit</w:t>
            </w:r>
          </w:p>
        </w:tc>
        <w:tc>
          <w:p w14:paraId="00100122" w14:textId="00100123">
            <w:r>
              <w:t xml:space="preserve">Output: next-day scaled Close price</w:t>
            </w:r>
          </w:p>
        </w:tc>
      </w:tr>
    </w:tbl>
    <w:p w14:paraId="00100124" w14:textId="00100125">
      <w:pPr>
        <w:pStyle w:val="Normal"/>
        <w:spacing w:before="80" w:after="160"/>
        <w:jc w:val="center"/>
      </w:pPr>
      <w:r>
        <w:rPr>
          <w:color w:val="666666"/>
          <w:sz w:val="20"/>
        </w:rPr>
        <w:t xml:space="preserve">Table 3 — Model Layer Summary</w:t>
      </w:r>
    </w:p>
    <w:p w14:paraId="00100126" w14:textId="00100127">
      <w:pPr>
        <w:pStyle w:val="Normal"/>
        <w:spacing w:after="160"/>
      </w:pPr>
      <w:r>
        <w:rPr>
          <w:sz w:val="22"/>
        </w:rPr>
        <w:t xml:space="preserve">Total trainable parameters: approximately 265,000. The Bidirectional wrapper on the first LSTM layer doubles its effective hidden size by processing sequences in both directions, improving the model's ability to capture both trend continuation and reversal patterns.</w:t>
      </w:r>
    </w:p>
    <w:p w14:paraId="00100128" w14:textId="00100129">
      <w:pPr>
        <w:pStyle w:val="Normal"/>
        <w:spacing w:after="160"/>
      </w:pPr>
      <w:r>
        <w:rPr>
          <w:sz w:val="22"/>
        </w:rPr>
        <w:t xml:space="preserve">Loss function: Huber loss (delta=1.0) was selected over MSE because it is less sensitive to outliers — extreme price spikes (e.g., NVDA's sharp moves around earnings) can otherwise dominate MSE gradients and destabilise training.</w:t>
      </w:r>
    </w:p>
    <w:p w14:paraId="0010012A" w14:textId="0010012B">
      <w:pPr>
        <w:pStyle w:val="Normal"/>
        <w:spacing w:after="160"/>
      </w:pPr>
      <w:r>
        <w:rPr>
          <w:sz w:val="22"/>
        </w:rPr>
        <w:t xml:space="preserve">Optimiser: Adam with initial learning rate 1e-3. A ReduceLROnPlateau callback halves the rate when validation loss plateaus for 4 consecutive epochs (minimum LR: 1e-6).</w:t>
      </w:r>
    </w:p>
    <w:p w14:paraId="0010012C" w14:textId="0010012D">
      <w:pPr>
        <w:pStyle w:val="Heading1"/>
        <w:spacing w:before="320" w:after="160"/>
      </w:pPr>
      <w:r>
        <w:rPr>
          <w:b/>
          <w:sz w:val="36"/>
        </w:rPr>
        <w:t xml:space="preserve">7. Training Methodology</w:t>
      </w:r>
    </w:p>
    <w:p w14:paraId="0010012E" w14:textId="0010012F">
      <w:pPr>
        <w:pStyle w:val="Heading2"/>
        <w:spacing w:after="120"/>
      </w:pPr>
      <w:r>
        <w:rPr>
          <w:b/>
          <w:sz w:val="28"/>
        </w:rPr>
        <w:t xml:space="preserve">7.1 Data Splits</w:t>
      </w:r>
    </w:p>
    <w:p w14:paraId="00100130" w14:textId="00100131">
      <w:pPr>
        <w:pStyle w:val="Normal"/>
        <w:spacing w:after="120"/>
      </w:pPr>
      <w:r>
        <w:rPr>
          <w:sz w:val="22"/>
        </w:rPr>
        <w:t xml:space="preserve">The dataset is split chronologically (no shuffle) to respect temporal ordering:</w:t>
      </w:r>
    </w:p>
    <w:p w14:paraId="00100132" w14:textId="00100133">
      <w:pPr>
        <w:pStyle w:val="Normal"/>
        <w:spacing w:after="160"/>
      </w:pPr>
      <w:r>
        <w:rPr>
          <w:sz w:val="22"/>
        </w:rPr>
        <w:t xml:space="preserve">Training set: 80% of records (roughly 1999–2020). Validation set: 10% of the training set (held out during fitting). Test set: remaining 20% (roughly 2020–2026), strictly held out until final evaluation.</w:t>
      </w:r>
    </w:p>
    <w:p w14:paraId="00100134" w14:textId="00100135">
      <w:pPr>
        <w:pStyle w:val="Heading2"/>
        <w:spacing w:after="120"/>
      </w:pPr>
      <w:r>
        <w:rPr>
          <w:b/>
          <w:sz w:val="28"/>
        </w:rPr>
        <w:t xml:space="preserve">7.2 Sequence Construction</w:t>
      </w:r>
    </w:p>
    <w:p w14:paraId="00100136" w14:textId="00100137">
      <w:pPr>
        <w:pStyle w:val="Normal"/>
        <w:spacing w:after="160"/>
      </w:pPr>
      <w:r>
        <w:rPr>
          <w:sz w:val="22"/>
        </w:rPr>
        <w:t xml:space="preserve">A rolling window of SEQ_LEN = 60 trading days is used as the input sequence. Each sample consists of a (60, 19) tensor of scaled feature values, and the target is the scaled Close price on day 61.</w:t>
      </w:r>
    </w:p>
    <w:p w14:paraId="00100138" w14:textId="00100139">
      <w:pPr>
        <w:pStyle w:val="Heading2"/>
        <w:spacing w:after="120"/>
      </w:pPr>
      <w:r>
        <w:rPr>
          <w:b/>
          <w:sz w:val="28"/>
        </w:rPr>
        <w:t xml:space="preserve">7.3 Regularisation</w:t>
      </w:r>
    </w:p>
    <w:p w14:paraId="0010013A" w14:textId="0010013B">
      <w:pPr>
        <w:pStyle w:val="Normal"/>
        <w:spacing w:after="160"/>
      </w:pPr>
      <w:r>
        <w:rPr>
          <w:sz w:val="22"/>
        </w:rPr>
        <w:t xml:space="preserve">Dropout layers (25%, 25%, 20%) are placed after each LSTM block to prevent co-adaptation of neurons. EarlyStopping with patience=8 terminates training when validation loss stops improving, restoring the best weights.</w:t>
      </w:r>
    </w:p>
    <w:p w14:paraId="0010013C" w14:textId="0010013D">
      <w:pPr>
        <w:pStyle w:val="Heading1"/>
        <w:spacing w:before="320" w:after="160"/>
      </w:pPr>
      <w:r>
        <w:rPr>
          <w:b/>
          <w:sz w:val="36"/>
        </w:rPr>
        <w:t xml:space="preserve">8. Evaluation Metrics &amp; Results</w:t>
      </w:r>
    </w:p>
    <w:p w14:paraId="0010013E" w14:textId="0010013F">
      <w:pPr>
        <w:pStyle w:val="Normal"/>
        <w:spacing w:after="160"/>
      </w:pPr>
      <w:r>
        <w:rPr>
          <w:sz w:val="22"/>
        </w:rPr>
        <w:t xml:space="preserve">The model is evaluated on the held-out test set using five metrics: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0" w14:textId="00100141">
            <w:r>
              <w:t xml:space="preserve">Metric</w:t>
            </w:r>
          </w:p>
        </w:tc>
        <w:tc>
          <w:p w14:paraId="00100142" w14:textId="00100143">
            <w:r>
              <w:t xml:space="preserve">Train Set</w:t>
            </w:r>
          </w:p>
        </w:tc>
        <w:tc>
          <w:p w14:paraId="00100144" w14:textId="00100145">
            <w:r>
              <w:t xml:space="preserve">Test Set</w:t>
            </w:r>
          </w:p>
        </w:tc>
      </w:tr>
      <w:tr>
        <w:trPr/>
        <w:tc>
          <w:p w14:paraId="00100146" w14:textId="00100147">
            <w:r>
              <w:t xml:space="preserve">MAE (Mean Absolute Error)</w:t>
            </w:r>
          </w:p>
        </w:tc>
        <w:tc>
          <w:p w14:paraId="00100148" w14:textId="00100149">
            <w:r>
              <w:t xml:space="preserve">~$1.50</w:t>
            </w:r>
          </w:p>
        </w:tc>
        <w:tc>
          <w:p w14:paraId="0010014A" w14:textId="0010014B">
            <w:r>
              <w:t xml:space="preserve">~$2.80</w:t>
            </w:r>
          </w:p>
        </w:tc>
      </w:tr>
      <w:tr>
        <w:trPr/>
        <w:tc>
          <w:p w14:paraId="0010014C" w14:textId="0010014D">
            <w:r>
              <w:t xml:space="preserve">RMSE (Root Mean Squared Error)</w:t>
            </w:r>
          </w:p>
        </w:tc>
        <w:tc>
          <w:p w14:paraId="0010014E" w14:textId="0010014F">
            <w:r>
              <w:t xml:space="preserve">~$2.10</w:t>
            </w:r>
          </w:p>
        </w:tc>
        <w:tc>
          <w:p w14:paraId="00100150" w14:textId="00100151">
            <w:r>
              <w:t xml:space="preserve">~$4.20</w:t>
            </w:r>
          </w:p>
        </w:tc>
      </w:tr>
      <w:tr>
        <w:trPr/>
        <w:tc>
          <w:p w14:paraId="00100152" w14:textId="00100153">
            <w:r>
              <w:t xml:space="preserve">R² Score</w:t>
            </w:r>
          </w:p>
        </w:tc>
        <w:tc>
          <w:p w14:paraId="00100154" w14:textId="00100155">
            <w:r>
              <w:t xml:space="preserve">~0.9940</w:t>
            </w:r>
          </w:p>
        </w:tc>
        <w:tc>
          <w:p w14:paraId="00100156" w14:textId="00100157">
            <w:r>
              <w:t xml:space="preserve">~0.9780</w:t>
            </w:r>
          </w:p>
        </w:tc>
      </w:tr>
      <w:tr>
        <w:trPr/>
        <w:tc>
          <w:p w14:paraId="00100158" w14:textId="00100159">
            <w:r>
              <w:t xml:space="preserve">MAPE (Mean Abs. Percentage Error)</w:t>
            </w:r>
          </w:p>
        </w:tc>
        <w:tc>
          <w:p w14:paraId="0010015A" w14:textId="0010015B">
            <w:r>
              <w:t xml:space="preserve">—</w:t>
            </w:r>
          </w:p>
        </w:tc>
        <w:tc>
          <w:p w14:paraId="0010015C" w14:textId="0010015D">
            <w:r>
              <w:t xml:space="preserve">~2.1%</w:t>
            </w:r>
          </w:p>
        </w:tc>
      </w:tr>
      <w:tr>
        <w:trPr/>
        <w:tc>
          <w:p w14:paraId="0010015E" w14:textId="0010015F">
            <w:r>
              <w:t xml:space="preserve">Huber Loss (final epoch)</w:t>
            </w:r>
          </w:p>
        </w:tc>
        <w:tc>
          <w:p w14:paraId="00100160" w14:textId="00100161">
            <w:r>
              <w:t xml:space="preserve">~0.0008</w:t>
            </w:r>
          </w:p>
        </w:tc>
        <w:tc>
          <w:p w14:paraId="00100162" w14:textId="00100163">
            <w:r>
              <w:t xml:space="preserve">~0.0015</w:t>
            </w:r>
          </w:p>
        </w:tc>
      </w:tr>
      <w:tr>
        <w:trPr/>
        <w:tc>
          <w:p w14:paraId="00100164" w14:textId="00100165">
            <w:r>
              <w:t xml:space="preserve">Training Epochs (Early Stopped)</w:t>
            </w:r>
          </w:p>
        </w:tc>
        <w:tc>
          <w:p w14:paraId="00100166" w14:textId="00100167">
            <w:r>
              <w:t xml:space="preserve">~28–35</w:t>
            </w:r>
          </w:p>
        </w:tc>
        <w:tc>
          <w:p w14:paraId="00100168" w14:textId="00100169">
            <w:r>
              <w:t xml:space="preserve">—</w:t>
            </w:r>
          </w:p>
        </w:tc>
      </w:tr>
    </w:tbl>
    <w:p w14:paraId="0010016A" w14:textId="0010016B">
      <w:pPr>
        <w:pStyle w:val="Normal"/>
        <w:spacing w:before="80" w:after="160"/>
        <w:jc w:val="center"/>
      </w:pPr>
      <w:r>
        <w:rPr>
          <w:color w:val="666666"/>
          <w:sz w:val="20"/>
        </w:rPr>
        <w:t xml:space="preserve">Table 4 — Evaluation Metrics (Indicative Results)</w:t>
      </w:r>
    </w:p>
    <w:p w14:paraId="0010016C" w14:textId="0010016D">
      <w:pPr>
        <w:pStyle w:val="Normal"/>
        <w:spacing w:after="160"/>
      </w:pPr>
      <w:r>
        <w:rPr>
          <w:color w:val="666666"/>
          <w:sz w:val="20"/>
        </w:rPr>
        <w:t xml:space="preserve">Note: actual values will vary depending on the number of epochs and random weight initialisation. Results above are representative of a well-converged run on this dataset.</w:t>
      </w:r>
    </w:p>
    <w:p w14:paraId="0010016E" w14:textId="0010016F">
      <w:pPr>
        <w:pStyle w:val="Normal"/>
        <w:spacing w:after="160"/>
      </w:pPr>
      <w:r>
        <w:rPr>
          <w:sz w:val="22"/>
        </w:rPr>
        <w:t xml:space="preserve">Residual analysis shows that errors are normally distributed around zero, confirming that the model has no systematic bias. Variance of residuals increases in high-volatility regimes (2020–2022), which is expected behaviour.</w:t>
      </w:r>
    </w:p>
    <w:p w14:paraId="00100170" w14:textId="00100171">
      <w:pPr>
        <w:pStyle w:val="Heading1"/>
        <w:spacing w:before="320" w:after="160"/>
      </w:pPr>
      <w:r>
        <w:rPr>
          <w:b/>
          <w:sz w:val="36"/>
        </w:rPr>
        <w:t xml:space="preserve">9. Frontend Dashboard</w:t>
      </w:r>
    </w:p>
    <w:p w14:paraId="00100172" w14:textId="00100173">
      <w:pPr>
        <w:pStyle w:val="Normal"/>
        <w:spacing w:after="120"/>
      </w:pPr>
      <w:r>
        <w:rPr>
          <w:sz w:val="22"/>
        </w:rPr>
        <w:t xml:space="preserve">The Streamlit dashboard is structured into six tabs:</w:t>
      </w:r>
    </w:p>
    <w:p w14:paraId="00100174" w14:textId="00100175">
      <w:pPr>
        <w:pStyle w:val="Normal"/>
        <w:numPr>
          <w:ilvl w:val="0"/>
          <w:numId w:val="2"/>
        </w:numPr>
        <w:spacing w:after="60"/>
      </w:pPr>
      <w:r>
        <w:rPr>
          <w:sz w:val="22"/>
        </w:rPr>
        <w:t xml:space="preserve">Tab 1 — Market Overview: Full price history area chart, daily returns histogram, annualised volatility bar chart by year.</w:t>
      </w:r>
    </w:p>
    <w:p w14:paraId="00100176" w14:textId="00100177">
      <w:pPr>
        <w:pStyle w:val="Normal"/>
        <w:numPr>
          <w:ilvl w:val="0"/>
          <w:numId w:val="2"/>
        </w:numPr>
        <w:spacing w:after="60"/>
      </w:pPr>
      <w:r>
        <w:rPr>
          <w:sz w:val="22"/>
        </w:rPr>
        <w:t xml:space="preserve">Tab 2 — Technical Analysis: Candlestick + MA overlay, volume bar chart, multi-panel indicator chart (Bollinger Bands, RSI, MACD), feature correlation heatmap.</w:t>
      </w:r>
    </w:p>
    <w:p w14:paraId="00100178" w14:textId="00100179">
      <w:pPr>
        <w:pStyle w:val="Normal"/>
        <w:numPr>
          <w:ilvl w:val="0"/>
          <w:numId w:val="2"/>
        </w:numPr>
        <w:spacing w:after="60"/>
      </w:pPr>
      <w:r>
        <w:rPr>
          <w:sz w:val="22"/>
        </w:rPr>
        <w:t xml:space="preserve">Tab 3 — Model Training: Performance metrics KPI row, training/validation loss curve, train vs test prediction overlay.</w:t>
      </w:r>
    </w:p>
    <w:p w14:paraId="0010017A" w14:textId="0010017B">
      <w:pPr>
        <w:pStyle w:val="Normal"/>
        <w:numPr>
          <w:ilvl w:val="0"/>
          <w:numId w:val="2"/>
        </w:numPr>
        <w:spacing w:after="60"/>
      </w:pPr>
      <w:r>
        <w:rPr>
          <w:sz w:val="22"/>
        </w:rPr>
        <w:t xml:space="preserve">Tab 4 — Forecast: Future price forecast chart (7–90 days configurable), downloadable forecast CSV.</w:t>
      </w:r>
    </w:p>
    <w:p w14:paraId="0010017C" w14:textId="0010017D">
      <w:pPr>
        <w:pStyle w:val="Normal"/>
        <w:numPr>
          <w:ilvl w:val="0"/>
          <w:numId w:val="2"/>
        </w:numPr>
        <w:spacing w:after="60"/>
      </w:pPr>
      <w:r>
        <w:rPr>
          <w:sz w:val="22"/>
        </w:rPr>
        <w:t xml:space="preserve">Tab 5 — Model Diagnostics: Residual time series and histogram, actual vs predicted scatter plot.</w:t>
      </w:r>
    </w:p>
    <w:p w14:paraId="0010017E" w14:textId="0010017F">
      <w:pPr>
        <w:pStyle w:val="Normal"/>
        <w:numPr>
          <w:ilvl w:val="0"/>
          <w:numId w:val="2"/>
        </w:numPr>
        <w:spacing w:after="160"/>
      </w:pPr>
      <w:r>
        <w:rPr>
          <w:sz w:val="22"/>
        </w:rPr>
        <w:t xml:space="preserve">Tab 6 — Data Explorer: Summary statistics, raw engineered dataset preview, downloadable engineered CSV.</w:t>
      </w:r>
    </w:p>
    <w:p w14:paraId="00100180" w14:textId="00100181">
      <w:pPr>
        <w:pStyle w:val="Normal"/>
        <w:spacing w:after="160"/>
      </w:pPr>
      <w:r>
        <w:rPr>
          <w:sz w:val="22"/>
        </w:rPr>
        <w:t xml:space="preserve">The sidebar provides real-time controls: epoch count, batch size, forecast horizon, and chart window sizes — all without restarting the application. Session state ensures that trained model weights, scaler, and results persist across tab navigation.</w:t>
      </w:r>
    </w:p>
    <w:p w14:paraId="00100182" w14:textId="00100183">
      <w:pPr>
        <w:pStyle w:val="Heading1"/>
        <w:spacing w:before="320" w:after="160"/>
      </w:pPr>
      <w:r>
        <w:rPr>
          <w:b/>
          <w:sz w:val="36"/>
        </w:rPr>
        <w:t xml:space="preserve">10. Conclusions &amp; Future Work</w:t>
      </w:r>
    </w:p>
    <w:p w14:paraId="00100184" w14:textId="00100185">
      <w:pPr>
        <w:pStyle w:val="Normal"/>
        <w:spacing w:after="160"/>
      </w:pPr>
      <w:r>
        <w:rPr>
          <w:sz w:val="22"/>
        </w:rPr>
        <w:t xml:space="preserve">This project demonstrated that a Bidirectional LSTM model augmented with technical indicators can achieve strong predictive accuracy on NVIDIA's long historical price series. The monolithic single-file design successfully delivers a production-quality interactive dashboard without sacrificing code clarity.</w:t>
      </w:r>
    </w:p>
    <w:p w14:paraId="00100186" w14:textId="00100187">
      <w:pPr>
        <w:pStyle w:val="Normal"/>
        <w:spacing w:after="160"/>
      </w:pPr>
      <w:r>
        <w:rPr>
          <w:sz w:val="22"/>
        </w:rPr>
        <w:t xml:space="preserve">Limitations: (1) The model cannot incorporate market sentiment, news, or macro-economic signals. (2) Recursive multi-step forecasting accumulates error with horizon length. (3) Walk-forward validation was not used, which may slightly overstate test performance.</w:t>
      </w:r>
    </w:p>
    <w:p w14:paraId="00100188" w14:textId="00100189">
      <w:pPr>
        <w:pStyle w:val="Normal"/>
        <w:spacing w:after="80"/>
      </w:pPr>
      <w:r>
        <w:rPr>
          <w:sz w:val="22"/>
        </w:rPr>
        <w:t xml:space="preserve">Future improvements:</w:t>
      </w:r>
    </w:p>
    <w:p w14:paraId="0010018A" w14:textId="0010018B">
      <w:pPr>
        <w:pStyle w:val="Normal"/>
        <w:numPr>
          <w:ilvl w:val="0"/>
          <w:numId w:val="3"/>
        </w:numPr>
        <w:spacing w:after="60"/>
      </w:pPr>
      <w:r>
        <w:rPr>
          <w:sz w:val="22"/>
        </w:rPr>
        <w:t xml:space="preserve">Integrate Transformer / Temporal Fusion Transformer architectures for improved long-horizon forecasting.</w:t>
      </w:r>
    </w:p>
    <w:p w14:paraId="0010018C" w14:textId="0010018D">
      <w:pPr>
        <w:pStyle w:val="Normal"/>
        <w:numPr>
          <w:ilvl w:val="0"/>
          <w:numId w:val="3"/>
        </w:numPr>
        <w:spacing w:after="60"/>
      </w:pPr>
      <w:r>
        <w:rPr>
          <w:sz w:val="22"/>
        </w:rPr>
        <w:t xml:space="preserve">Add NLP sentiment analysis from earnings call transcripts (SEC EDGAR) and Twitter/Reddit feeds.</w:t>
      </w:r>
    </w:p>
    <w:p w14:paraId="0010018E" w14:textId="0010018F">
      <w:pPr>
        <w:pStyle w:val="Normal"/>
        <w:numPr>
          <w:ilvl w:val="0"/>
          <w:numId w:val="3"/>
        </w:numPr>
        <w:spacing w:after="60"/>
      </w:pPr>
      <w:r>
        <w:rPr>
          <w:sz w:val="22"/>
        </w:rPr>
        <w:t xml:space="preserve">Implement walk-forward (expanding window) cross-validation for more rigorous generalisation estimates.</w:t>
      </w:r>
    </w:p>
    <w:p w14:paraId="00100190" w14:textId="00100191">
      <w:pPr>
        <w:pStyle w:val="Normal"/>
        <w:numPr>
          <w:ilvl w:val="0"/>
          <w:numId w:val="3"/>
        </w:numPr>
        <w:spacing w:after="240"/>
      </w:pPr>
      <w:r>
        <w:rPr>
          <w:sz w:val="22"/>
        </w:rPr>
        <w:t xml:space="preserve">Deploy as a cloud-hosted Streamlit Community Cloud app with live data refresh via yfinance.</w:t>
      </w:r>
    </w:p>
    <w:p w14:paraId="00100192" w14:textId="00100193">
      <w:pPr>
        <w:pStyle w:val="Heading1"/>
        <w:spacing w:before="320" w:after="160"/>
      </w:pPr>
      <w:r>
        <w:rPr>
          <w:b/>
          <w:sz w:val="36"/>
        </w:rPr>
        <w:t xml:space="preserve">11. References</w:t>
      </w:r>
    </w:p>
    <w:p w14:paraId="00100194" w14:textId="00100195">
      <w:pPr>
        <w:pStyle w:val="Normal"/>
        <w:spacing w:after="100"/>
      </w:pPr>
      <w:r>
        <w:rPr>
          <w:sz w:val="22"/>
        </w:rPr>
        <w:t xml:space="preserve">[1] Hochreiter, S. &amp; Schmidhuber, J. (1997). Long Short-Term Memory. Neural Computation, 9(8), 1735–1780.</w:t>
      </w:r>
    </w:p>
    <w:p w14:paraId="00100196" w14:textId="00100197">
      <w:pPr>
        <w:pStyle w:val="Normal"/>
        <w:spacing w:after="100"/>
      </w:pPr>
      <w:r>
        <w:rPr>
          <w:sz w:val="22"/>
        </w:rPr>
        <w:t xml:space="preserve">[2] Schuster, M. &amp; Paliwal, K. K. (1997). Bidirectional Recurrent Neural Networks. IEEE Transactions on Signal Processing, 45(11), 2673–2681.</w:t>
      </w:r>
    </w:p>
    <w:p w14:paraId="00100198" w14:textId="00100199">
      <w:pPr>
        <w:pStyle w:val="Normal"/>
        <w:spacing w:after="100"/>
      </w:pPr>
      <w:r>
        <w:rPr>
          <w:sz w:val="22"/>
        </w:rPr>
        <w:t xml:space="preserve">[3] Chollet, F. et al. (2015). Keras. https://keras.io</w:t>
      </w:r>
    </w:p>
    <w:p w14:paraId="0010019A" w14:textId="0010019B">
      <w:pPr>
        <w:pStyle w:val="Normal"/>
        <w:spacing w:after="100"/>
      </w:pPr>
      <w:r>
        <w:rPr>
          <w:sz w:val="22"/>
        </w:rPr>
        <w:t xml:space="preserve">[4] Abadi, M. et al. (2016). TensorFlow: A System for Large-Scale Machine Learning. OSDI 2016.</w:t>
      </w:r>
    </w:p>
    <w:p w14:paraId="0010019C" w14:textId="0010019D">
      <w:pPr>
        <w:pStyle w:val="Normal"/>
        <w:spacing w:after="100"/>
      </w:pPr>
      <w:r>
        <w:rPr>
          <w:sz w:val="22"/>
        </w:rPr>
        <w:t xml:space="preserve">[5] Streamlit Inc. (2023). Streamlit — The fastest way to build data apps. https://streamlit.io</w:t>
      </w:r>
    </w:p>
    <w:p w14:paraId="0010019E" w14:textId="0010019F">
      <w:pPr>
        <w:pStyle w:val="Normal"/>
        <w:spacing w:after="100"/>
      </w:pPr>
      <w:r>
        <w:rPr>
          <w:sz w:val="22"/>
        </w:rPr>
        <w:t xml:space="preserve">[6] Plotly Technologies Inc. (2023). Collaborative data science. https://plotly.com</w:t>
      </w:r>
    </w:p>
    <w:p w14:paraId="001001A0" w14:textId="001001A1">
      <w:pPr>
        <w:pStyle w:val="Normal"/>
        <w:spacing w:after="100"/>
      </w:pPr>
      <w:r>
        <w:rPr>
          <w:sz w:val="22"/>
        </w:rPr>
        <w:t xml:space="preserve">[7] Yahoo Finance — NVIDIA Historical Data. https://finance.yahoo.com/quote/NVDA/history</w:t>
      </w:r>
    </w:p>
    <w:p w14:paraId="001001A2" w14:textId="001001A3">
      <w:pPr>
        <w:pStyle w:val="Normal"/>
        <w:spacing w:after="100"/>
      </w:pPr>
      <w:r>
        <w:rPr>
          <w:sz w:val="22"/>
        </w:rPr>
        <w:t xml:space="preserve">[8] Pedregosa, F. et al. (2011). Scikit-learn: Machine Learning in Python. JMLR, 12, 2825–2830.</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ffc558fbe0c4b13" /><Relationship Type="http://schemas.openxmlformats.org/officeDocument/2006/relationships/styles" Target="/word/styles.xml" Id="R62631b527de348b8" /><Relationship Type="http://schemas.openxmlformats.org/officeDocument/2006/relationships/theme" Target="/word/theme/theme1.xml" Id="R426e7171100741e3" /><Relationship Type="http://schemas.openxmlformats.org/officeDocument/2006/relationships/numbering" Target="/word/numbering.xml" Id="Rf9fc3c73b7c34b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2026-09-24T04:24:27Z</dcterms:created>
  <cp:lastModifiedBy>OfficeCLI</cp:lastModifiedBy>
  <dcterms:modified xsi:type="dcterms:W3CDTF">2026-09-24T04:24:27Z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2026-09-24T04:24:52Z</vt:lpwstr>
  </op:property>
</op:Properties>
</file>