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widowControl/>
        <w:spacing w:before="0" w:after="210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Title"/>
      </w:pPr>
      <w:r>
        <w:rPr>
          <w:rFonts w:ascii="Microsoft YaHei" w:hAnsi="Microsoft YaHei" w:eastAsia="微软雅黑"/>
          <w:b w:val="0"/>
          <w:color w:val="536D88"/>
          <w:sz w:val="44"/>
        </w:rPr>
        <w:t>票据流 Agent</w:t>
      </w:r>
    </w:p>
    <w:p>
      <w:pPr>
        <w:pStyle w:val="Title"/>
      </w:pPr>
      <w:r>
        <w:rPr>
          <w:rFonts w:ascii="Microsoft YaHei" w:hAnsi="Microsoft YaHei" w:eastAsia="微软雅黑"/>
          <w:b/>
          <w:color w:val="000000"/>
          <w:sz w:val="44"/>
        </w:rPr>
        <w:t>企业内部使用与运维手册</w:t>
      </w:r>
    </w:p>
    <w:p>
      <w:pPr>
        <w:keepNext w:val="0"/>
        <w:widowControl/>
        <w:spacing w:before="0" w:after="210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从发票提交到财务登记，从部署上线到日常维护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24"/>
        <w:gridCol w:w="4032"/>
        <w:gridCol w:w="3168"/>
      </w:tblGrid>
      <w:tr>
        <w:trPr>
          <w:cantSplit/>
          <w:tblHeader/>
        </w:trPr>
        <w:tc>
          <w:tcPr>
            <w:tcW w:type="dxa" w:w="302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403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适用对象</w:t>
            </w:r>
          </w:p>
        </w:tc>
        <w:tc>
          <w:tcPr>
            <w:tcW w:type="dxa" w:w="316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编制日期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V1.0</w:t>
            </w:r>
          </w:p>
        </w:tc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 · 财务 · 管理员 · IT</w:t>
            </w:r>
          </w:p>
        </w:tc>
        <w:tc>
          <w:tcPr>
            <w:tcW w:type="dxa" w:w="31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2026年9月5日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文档信息</w:t>
            </w:r>
          </w:p>
        </w:tc>
        <w:tc>
          <w:tcPr>
            <w:tcW w:type="dxa" w:w="835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填写或说明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适用产品</w:t>
            </w:r>
          </w:p>
        </w:tc>
        <w:tc>
          <w:tcPr>
            <w:tcW w:type="dxa" w:w="83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票据流 Agent；公司内部集中部署及 Windows 本机使用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适用软件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交付时填写发布版本或 Git commit：________________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公司与负责人</w:t>
            </w:r>
          </w:p>
        </w:tc>
        <w:tc>
          <w:tcPr>
            <w:tcW w:type="dxa" w:w="83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公司：________________  负责人：________________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审核与发布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财务审核：____________  IT审核：____________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资料属性</w:t>
            </w:r>
          </w:p>
        </w:tc>
        <w:tc>
          <w:tcPr>
            <w:tcW w:type="dxa" w:w="83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内部操作资料；不附真实发票、口令或业务数据库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一  手册说明与快速导航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本手册用于统一员工提交、财务处理、管理员账号维护和 IT 运维操作。业务人员按岗位阅读即可；安装命令、备份和升级步骤由 IT 执行。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1.1  八部分阅读导航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88"/>
        <w:gridCol w:w="5256"/>
        <w:gridCol w:w="2880"/>
      </w:tblGrid>
      <w:tr>
        <w:trPr>
          <w:cantSplit/>
          <w:tblHeader/>
        </w:trPr>
        <w:tc>
          <w:tcPr>
            <w:tcW w:type="dxa" w:w="208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部分</w:t>
            </w:r>
          </w:p>
        </w:tc>
        <w:tc>
          <w:tcPr>
            <w:tcW w:type="dxa" w:w="525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主要内容</w:t>
            </w:r>
          </w:p>
        </w:tc>
        <w:tc>
          <w:tcPr>
            <w:tcW w:type="dxa" w:w="288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建议阅读人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一  手册说明</w:t>
            </w:r>
          </w:p>
        </w:tc>
        <w:tc>
          <w:tcPr>
            <w:tcW w:type="dxa" w:w="52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版本信息、阅读路径、首次使用清单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所有人员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二  产品与流程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处理边界、状态、金额含义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员工、财务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三  权限与账号</w:t>
            </w:r>
          </w:p>
        </w:tc>
        <w:tc>
          <w:tcPr>
            <w:tcW w:type="dxa" w:w="52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岗位权限、开户、密码和离职处理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所有人员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四  部署与启动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Windows 安装、模型、内网访问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IT、管理员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五  日常操作</w:t>
            </w:r>
          </w:p>
        </w:tc>
        <w:tc>
          <w:tcPr>
            <w:tcW w:type="dxa" w:w="52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上传、查询、复核、删除、归档导出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员工、财务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六  异常处理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OCR、重复、原件、权限与报障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所有人员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七  验收与问题</w:t>
            </w:r>
          </w:p>
        </w:tc>
        <w:tc>
          <w:tcPr>
            <w:tcW w:type="dxa" w:w="52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上线检查、验收记录、当前限制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财务、IT、负责人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八  维护与交接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备份恢复、升级回退、规则修改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IT、财务负责人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1.2  首次使用最短路径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IT 安装并启动服务，完成一次真实样本识别测试。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管理员初始化账号，创建至少一个员工账号和一个财务账号。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员工登录后提交发票，在“我的发票”查看处理结果。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财务在“发票处理”核对原件与依据，再确认登记或标记不合规。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05  财务导出归档包；IT 另行完成数据库和原件的完整备份。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1.3  阅读约定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“当前功能”指本手册对应代码的操作行为；“上线要求”指公司投入使用前需要落实的事项，不表示系统已经自动实现。带下划线的内容由交付负责人填写。界面更新后应同步修订手册和验收记录。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本手册中的金额与置信度只说明程序配置，不是全国统一的报销标准。公司制度、报销权限和票据真实性由财务负责人另行审核。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二  产品范围与业务流程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2.1  系统做什么与不做什么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系统支持本地选择或拖入 JPG、JPEG、PNG、PDF，后台识别文字及表格，按合规 Skill 给出判断原因，并保存任务、发票原件和财务处理结果。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当前未实现手机直接扫描录入，未对接正式财务系统和付款系统，也没有自动取得税务查验结果。原件图片或系统判断不能单独代替业务审批、付款凭证和真实性核验。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2.2  任务状态与下一步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2"/>
        <w:gridCol w:w="4032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403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432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应做什么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待处理</w:t>
            </w:r>
          </w:p>
        </w:tc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上传完成，等待后台执行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保留任务编号，稍后查看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处理中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后台正在识别和判断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等待；不要停止服务或删除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待财务确认</w:t>
            </w:r>
          </w:p>
        </w:tc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程序条件通过，等待财务最终确认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财务核对原件、业务和额度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待复核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识别、资料或规则存在不确定性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补足证据后由财务决定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不合规</w:t>
            </w:r>
          </w:p>
        </w:tc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规则或人工判断不通过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查看原因，按公司流程处理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已登记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财务已在本系统确认登记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保留记录；不等于已付款或已记账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2.3  标准流程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/>
          <w:color w:val="000000"/>
          <w:sz w:val="22"/>
        </w:rPr>
        <w:t>员工上传 → 保存原件并创建任务 → OCR 识别 → 合规规则判断 → 财务核对与复核 → 本系统登记或不合规留档 → 按公司要求另行报账、记账或付款。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缺少外部查验或业务证据的真实上传进入“待复核”是保守处理，不代表发票一定无效。界面“待处理”汇总入口可同时包含待复核和待财务确认任务。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2.4  金额字段如何理解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“价税合计”是识别到的票面金额；“建议报销金额”是规则计算的建议；“可登记金额”可能显示“需复核”。金额建议不得直接作为付款指令。财务应结合用途、已报销金额、剩余额度及审批记录核定。税前扣除参考与员工报销金额属于不同事项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当前配置中，3000 元与 10000 元是处理分流阈值，超过阈值不自动等于不合规；即使金额较低，也必须满足其他条件并由财务确认。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三  角色权限与账号管理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3.1  岗位分工与数据可见范围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52"/>
        <w:gridCol w:w="2376"/>
        <w:gridCol w:w="2736"/>
        <w:gridCol w:w="2160"/>
      </w:tblGrid>
      <w:tr>
        <w:trPr>
          <w:cantSplit/>
          <w:tblHeader/>
        </w:trPr>
        <w:tc>
          <w:tcPr>
            <w:tcW w:type="dxa" w:w="295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能力</w:t>
            </w:r>
          </w:p>
        </w:tc>
        <w:tc>
          <w:tcPr>
            <w:tcW w:type="dxa" w:w="237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员工</w:t>
            </w:r>
          </w:p>
        </w:tc>
        <w:tc>
          <w:tcPr>
            <w:tcW w:type="dxa" w:w="273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财务</w:t>
            </w:r>
          </w:p>
        </w:tc>
        <w:tc>
          <w:tcPr>
            <w:tcW w:type="dxa" w:w="216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管理员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上传发票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  <w:tc>
          <w:tcPr>
            <w:tcW w:type="dxa" w:w="273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不提供上传入口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查看与搜索记录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仅本人记录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全部发票记录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预览与下载原件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仅本人原件</w:t>
            </w:r>
          </w:p>
        </w:tc>
        <w:tc>
          <w:tcPr>
            <w:tcW w:type="dxa" w:w="273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全部业务原件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复核与确认登记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删除未登记任务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仅本人且非处理中</w:t>
            </w:r>
          </w:p>
        </w:tc>
        <w:tc>
          <w:tcPr>
            <w:tcW w:type="dxa" w:w="273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可管理符合条件的记录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导出归档包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可以，当前为全量导出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创建、启停、重置账号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273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修改自己的密码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可以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员工侧边栏为“提交发票”“我的发票”“个人设置”；财务为“发票处理”“个人设置”；管理员为“系统管理”“个人设置”。服务器同时校验权限，隐藏菜单不是唯一保护。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3.2  隔离边界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当前隔离按“账号归属 + 角色”实现。部门字段用于账号信息，不等于部门级数据隔离；财务可见全量任务。不同公司若需要独立财务数据，应先设计独立实例或更细的授权模型，不能只填写不同部门名称。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IT 是运维职责，不是系统内的第四种角色。能访问服务器磁盘的 IT 可能接触数据库和原件，应受公司管理制度约束。不要把归档目录作为所有员工可直接访问的共享文件夹。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3.3  账号生命周期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入职：主管确认岗位与部门，管理员创建独立账号，通过安全渠道交付初始密码。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首次使用：用户进入“个人设置”修改密码；不得多人共享账号。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转岗：由主管与财务确认新权限；当前页面未提供完整转岗审批和角色编辑流程，交由管理员与 IT 按受控方式办理并验证。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离职：管理员及时禁用账号，保留历史任务与审计信息，不通过删除用户数据代替交接。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三  账号操作与密码维护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3.4  首次初始化管理员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执行人：部署人员与指定管理员。前提：首次部署，尚未建立管理员。初始化页面只应对受信任人员开放。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IT 启动服务并在服务器本机打开系统。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按初始化页面填写管理员账号信息和密码，提交建立。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进入登录页，用刚建立的管理员账号登录。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进入“系统管理”创建业务账号，再开放公司内网访问。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预期结果：后续打开系统进入登录页；未登录时不能直接进入工作台。不存在通用默认管理员密码。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3.5  创建、禁用与重置账号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管理员登录“系统管理”，填写账号、姓名、部门、角色和初始密码。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账号使用 3 至 40 位英文字母、数字、下划线、短横线或点；姓名可使用中文。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创建后让用户登录核验对应菜单，不要只检查账号是否出现在列表。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需要停用时操作账号的启停按钮；密码遗忘时使用重置密码功能。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05  重置密码后让用户重新登录并自行改密；不要通过聊天群公开发送密码。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预期结果：禁用账号无法继续正常使用；密码重置会使目标账号原会话失效。重置密码不是查询旧密码，管理员不应索要用户现有口令。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3.6  用户修改自己的密码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登录后打开“个人设置”。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输入当前密码、新密码及确认密码；新密码至少 8 位，建议使用更长且不重复的口令。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提交后重新登录，使用新密码验证。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修改成功会使该账号已有会话失效。若提示当前密码不正确，请核对后重试；忘记密码联系管理员，不要反复猜测。当前没有邮件或短信自助找回流程。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3.7  使用安全约定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离开工位主动退出登录。后台会话有有效期，超时请重新登录。公司上线前必须专项验证登录失败限制、会话撤销和越权访问；不能仅凭密码输入框或菜单差异认定安全验收通过。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四  Windows 安装部署与首次启动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4.1  安装准备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执行人：IT。准备一台持续运行的 Windows 主机、Python 64 位环境、足够的模型及原件磁盘空间，以及允许访问依赖和模型源的网络。项目依赖文件记录已在 Python 3.12 环境验证；其他版本应先测试。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安装目录示例为 C:\InvoiceAgent。以下命令必须在包含 app.py 和 requirements-ocr.txt 的项目根目录执行；请将示例路径换为真实目录。不要从 C:\Users\用户名 直接运行相对路径 app.py。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cd "C:\InvoiceAgent"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py -3.12 -m venv .venv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.\.venv\Scripts\python.exe -m pip install --upgrade pip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.\.venv\Scripts\python.exe -m pip install -r requirements-ocr.txt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.\.venv\Scripts\python.exe -c "import paddle, paddleocr; print('OCR dependencies OK')"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依赖固定为 paddlepaddle 3.2.0、paddleocr[doc-parser] 3.7.0。依赖导入成功只表示安装完成；还需上传真实样本确认模型下载、识别与结果展示正常。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4.2  双击启动与停止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在项目根目录双击“启动发票Agent.bat”，它使用本项目 .venv 并尝试打开浏览器。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浏览器未自动打开时，手动访问 http://127.0.0.1:8765/。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先完成初始化和角色账号测试，再提交真实样本；首次识别需等待模型下载。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停止前通知使用人员，等待所有识别与导出完成，再由 IT 双击“停止发票Agent.bat”。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/>
          <w:color w:val="000000"/>
          <w:sz w:val="22"/>
        </w:rPr>
        <w:t>注意：现有停止脚本按本机 8765 监听端口强制终止进程，并未核验进程一定属于本项目。IT 必须先确认端口归属；有任务执行时不要强停。关闭浏览器不会停止后台服务。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4.3  OCR 缓存与目录权限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推荐启动脚本将缓存指向 %LOCALAPPDATA%\InvoiceReimbursementAgent-v4。程序优先采用 INVOICE_AGENT_CACHE_HOME，随后尝试当前用户缓存和项目 .invoice-agent-cache-v4。缓存归属运行服务的 Windows 账号。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旧版 start_windows.bat 的缓存设置不同，统一使用“启动发票Agent.bat”。不要混用账号或反复复用无法读取的旧模型目录。修改配置后需重启服务再验证。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四  公司内网部署与首次检查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4.4  单机与集中部署的区别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8"/>
        <w:gridCol w:w="3888"/>
        <w:gridCol w:w="4608"/>
      </w:tblGrid>
      <w:tr>
        <w:trPr>
          <w:cantSplit/>
          <w:tblHeader/>
        </w:trPr>
        <w:tc>
          <w:tcPr>
            <w:tcW w:type="dxa" w:w="172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388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访问方式</w:t>
            </w:r>
          </w:p>
        </w:tc>
        <w:tc>
          <w:tcPr>
            <w:tcW w:type="dxa" w:w="460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使用原则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本机试用</w:t>
            </w:r>
          </w:p>
        </w:tc>
        <w:tc>
          <w:tcPr>
            <w:tcW w:type="dxa" w:w="38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http://127.0.0.1:8765/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仅服务所在电脑；关闭主机后不可用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公司内网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 提供的服务器地址或域名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员工不安装 Python，用浏览器访问统一服务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正式使用</w:t>
            </w:r>
          </w:p>
        </w:tc>
        <w:tc>
          <w:tcPr>
            <w:tcW w:type="dxa" w:w="388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由 IT 配置 HTTPS 内网入口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限定来源网络、独立服务账号和受控磁盘权限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127.0.0.1 永远指访问者自己的电脑，不能把这个地址发给其他员工当作服务器地址。0.0.0.0 是监听设置，不是浏览器访问地址。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内网试运行示例，由 IT 在项目目录执行：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$env:AGENT_HOST = "0.0.0.0"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$env:AGENT_PORT = "8765"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.\.venv\Scripts\python.exe app.py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上述设置只负责监听内网，不会自动配置 HTTPS、防火墙或开机自启。当前双击脚本按本机固定端口设计，不作为内网常驻服务管理器。上线前由 IT 配置受控服务管理和反向代理，避免裸露公网端口。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4.5  交付配置登记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20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交付时填写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员工访问地址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服务器与服务账号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项目安装绝对路径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原件目录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项目目录 / upload_invoice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项目目录 / data / invoice_agent.db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备份位置与责任人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发布版本与回退版本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________________________________________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4.6  首次检查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依次检查：未登录不能访问工作台；三类账号菜单正确；员工只能看到自己的任务；样本能识别并显示原件；财务能复核；导出包含清单与原件；服务重启后任务仍在。任何一项失败都应先处理再推广使用。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五  员工日常操作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5.1  提交单张或多张发票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执行人：员工。前提：已登录，持有允许提交的发票材料；上传前确认图片清晰、号码和金额完整。尽量使用原始发票文件，不使用大面积遮挡、裁切不全或严重压缩的截图。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进入“提交发票”。点击选择文件，使用 Ctrl 或 Shift 多选；也可把多张文件拖入上传区域。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检查待上传列表，去掉误选文件，再点击提交按钮。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等待每张文件的提交反馈；批量中单张失败不应视为整批都失败。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进入“我的发票”查询任务。状态未更新时重新进入列表或刷新页面，不要连续重复提交。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大小提示：界面提示单文件 25MB，但当前服务端还限制整个 JSON 请求体为 25MB，Base64 编码会增大体积。建议单文件小于 18MB；大文件先由 IT 确认可用大小，不要保证 25MB 原始文件一定能上传。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5.2  搜索记录与查看原件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打开“我的发票”，输入发票号码、购买方、销售方、任务编号或文件名等信息。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点击具体记录，核对识别字段、处理原因及原件预览。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需要完整尺寸时点击“查看原件”；需要本地副本时点击“下载原件”。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公司集中部署版不提供“打开服务器本地文件夹”操作。下载得到副本，原件仍保存在受控服务器目录；浏览器不能直接操作服务器资源管理器。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列表默认返回最近 80 条，接口最多 200 条，当前没有完整分页界面。没有看到历史任务时应先用号码等缩小搜索范围，不要直接认定数据丢失。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5.3  误传、重复与重新上传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仅改文件名不会避开完全相同文件的哈希检查；重新截图或扫描可能触发业务字段疑似重复，转财务复核。相同发票不应通过改名反复提交报销。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误传且未登记时，进入详情点击“删除记录”，阅读确认提示。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删除会同时移除记录与归档原件；没有回收站。确认无保留要求后再删除。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删除完成后可重新上传。同一任务处于处理中或已登记时不允许普通删除。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若已登记后发现错误，联系财务按公司更正流程处理；不要通过删除文件、修改号码或直接改数据库绕开控制。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五  财务处理与归档导出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5.4  财务确认与人工复核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执行人：财务。前提：有对应业务审批、真实性核验和额度资料；原件能正常读取。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进入“发票处理”，使用“查看全部发票”或“进入待处理”，通过搜索定位任务。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打开详情，将票面号码、日期、购买方、销售方、金额逐项与识别结果核对。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阅读判断原因，检查实际业务、审批、付款凭证及是否已经报销；必要时在公司既有流程补证。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“待财务确认”核对无误后点击“确认登记”；“待复核”满足条件后点击“复核通过并登记”。不符合要求时点击“确认不合规”。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05  重新查看状态，确认变更结果。对外部补证与审批记录保存关联，避免只有点击结果却无法追溯依据。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界面未提供完整的附件补证、逐级审批和付款联动流程。财务复核按钮不会替代外部查验；疑似重复须先核实原登记，不能无条件点击通过。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5.5  原件的目录与命名</w:t>
      </w:r>
    </w:p>
    <w:p>
      <w:pPr>
        <w:keepNext w:val="0"/>
        <w:widowControl/>
        <w:spacing w:before="0" w:after="60" w:line="283" w:lineRule="auto"/>
        <w:ind w:left="0" w:firstLine="0"/>
      </w:pPr>
      <w:r>
        <w:rPr>
          <w:rFonts w:ascii="Consolas" w:hAnsi="Consolas" w:eastAsia="微软雅黑"/>
          <w:b w:val="0"/>
          <w:color w:val="000000"/>
          <w:sz w:val="18"/>
        </w:rPr>
        <w:t>upload_invoice/年/月/日/任务编号/购买方_发票号码_开票日期.扩展名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年月日按服务器上传日期分类，不是发票开票日期或会计期间。无法识别购买方时使用带任务编号的兜底名称。旧版平铺文件不因新规则自动全部迁移；通过任务详情访问即可。不要手工移动、改名或整理生产原件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5.6  导出归档包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建议在批次处理稳定后执行，避免导出期间继续删除或修改同一批原件。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财务点击“导出归档包”，下载 ZIP。当前导出全量授权记录，不随列表搜索条件缩小范围。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解压检查“发票清单.csv”“发票原件”目录；若存在“导出异常清单.txt”，逐项核实缺失或不可用文件。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按任务编号核对清单与原件，将归档包移交受权接收人并记录时间、范围和用途。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CSV 使用 UTF-8 BOM 编码，列名含 id、invoice_no、buyer、total、status_label 和 archive_relative_path 等。若 Excel 将长发票号码转成科学计数法，请通过“从文本/CSV”导入并把号码列设置为文本。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导出包不是完整系统备份，不含账号库、完整数据库、策略配置和全部审计信息。遇到导出中途文件被占用或移除，整个导出仍可能失败，应稳定文件状态后重试。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六  异常处理与问题反馈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32"/>
        <w:gridCol w:w="3024"/>
        <w:gridCol w:w="4968"/>
      </w:tblGrid>
      <w:tr>
        <w:trPr>
          <w:cantSplit/>
          <w:tblHeader/>
        </w:trPr>
        <w:tc>
          <w:tcPr>
            <w:tcW w:type="dxa" w:w="223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现象</w:t>
            </w:r>
          </w:p>
        </w:tc>
        <w:tc>
          <w:tcPr>
            <w:tcW w:type="dxa" w:w="302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先检查</w:t>
            </w:r>
          </w:p>
        </w:tc>
        <w:tc>
          <w:tcPr>
            <w:tcW w:type="dxa" w:w="496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处理与升级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No module named paddleocr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服务是否使用本项目 .venv</w:t>
            </w:r>
          </w:p>
        </w:tc>
        <w:tc>
          <w:tcPr>
            <w:tcW w:type="dxa" w:w="49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 用该解释器安装 requirements-ocr.txt；重启后测试导入及真实识别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inference.yml 权限拒绝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报错完整路径、运行账号、缓存归属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 停机后检查文件权限；使用新且可读写的缓存命名空间重新下载，不要给所有人开放权限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识别失败或待复核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图片清晰度、关键字段、缺失资料</w:t>
            </w:r>
          </w:p>
        </w:tc>
        <w:tc>
          <w:tcPr>
            <w:tcW w:type="dxa" w:w="49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补充清晰原件与业务证据；财务人工核对，不直接按自动结果付款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文件上传失败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格式、大小、网络、登录状态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缩小单文件，重新登录，确认是否已生成任务后再重试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任务长期处理中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是否正在首次下载模型、后台进程</w:t>
            </w:r>
          </w:p>
        </w:tc>
        <w:tc>
          <w:tcPr>
            <w:tcW w:type="dxa" w:w="49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记录任务号与时间交 IT；当前不保证异常停机任务自动恢复，不直接改数据库状态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重复上传提示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本人历史任务与原发票号码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先查已有任务；若疑似重复由财务核实，不通过改文件名规避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原件打不开或导出失败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是否有权访问、磁盘文件是否存在</w:t>
            </w:r>
          </w:p>
        </w:tc>
        <w:tc>
          <w:tcPr>
            <w:tcW w:type="dxa" w:w="49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 检查路径、权限与备份；修复前暂停相关登记，不能仅看识别文本认定材料完整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403 或看不到菜单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当前角色、记录归属、会话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重新登录验证；联系管理员核对授权，不共享高权限账号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服务打不开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启动状态、端口、服务器地址</w:t>
            </w:r>
          </w:p>
        </w:tc>
        <w:tc>
          <w:tcPr>
            <w:tcW w:type="dxa" w:w="496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本机与内网分别排查；IT 确认主机、代理及防火墙，不要求员工关闭安全软件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6.1  报障信息模板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发现时间：________  账号与角色：________  任务编号：________</w:t>
        <w:br/>
        <w:t>所在页面与操作步骤：________________________________</w:t>
        <w:br/>
        <w:t>预期结果与实际错误：________________________________</w:t>
        <w:br/>
        <w:t>影响人数或任务数：________  是否仍可查询原件：________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可附脱敏截图与必要的日志片段。不要发送口令、会话令牌、整库备份或未脱敏发票到公共群和公开 GitHub。需要原件排障时使用公司批准的安全渠道。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6.2  暂停使用与人工接管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发生越权泄露、丢失原件、批量重复登记或持续无法识别时，先暂停受影响操作并保存证据；由 IT 与财务共同确认范围。使用公司既有人工流程记录票号与处理状态，恢复后对账，防止人工和系统重复登记。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七  上线验收与已知问题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7.1  实施前、中、后的检查重点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518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必须落实</w:t>
            </w:r>
          </w:p>
        </w:tc>
        <w:tc>
          <w:tcPr>
            <w:tcW w:type="dxa" w:w="338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输出证据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实施前</w:t>
            </w:r>
          </w:p>
        </w:tc>
        <w:tc>
          <w:tcPr>
            <w:tcW w:type="dxa" w:w="518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明确适用部门、角色、报销制度、服务器、负责人和回退方式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范围确认、账号表、配置表、基线备份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实施中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先使用脱敏样本与小范围用户试点，逐项检查隔离与财务流程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测试结果、问题清单、培训签到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实施后</w:t>
            </w:r>
          </w:p>
        </w:tc>
        <w:tc>
          <w:tcPr>
            <w:tcW w:type="dxa" w:w="518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观察失败率、人工复核量、原件一致性及恢复能力，再扩大范围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试运行报告、验收签字、运维交接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7.2  验收用例与通过条件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2"/>
        <w:gridCol w:w="6840"/>
        <w:gridCol w:w="1512"/>
      </w:tblGrid>
      <w:tr>
        <w:trPr>
          <w:cantSplit/>
          <w:tblHeader/>
        </w:trPr>
        <w:tc>
          <w:tcPr>
            <w:tcW w:type="dxa" w:w="187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684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操作与通过条件</w:t>
            </w:r>
          </w:p>
        </w:tc>
        <w:tc>
          <w:tcPr>
            <w:tcW w:type="dxa" w:w="151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身份隔离</w:t>
            </w:r>
          </w:p>
        </w:tc>
        <w:tc>
          <w:tcPr>
            <w:tcW w:type="dxa" w:w="684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未登录访问被拒；员工甲不能访问员工乙记录及原件；管理员不能取发票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岗位权限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员工无复核与导出权限；财务不能维护账号；服务端也拒绝越权请求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账号安全</w:t>
            </w:r>
          </w:p>
        </w:tc>
        <w:tc>
          <w:tcPr>
            <w:tcW w:type="dxa" w:w="684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改密、重置、禁用使相关旧会话失效；验证登录失败限制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上传识别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多选与拖入成功；正常票、模糊票、缺字段票分别得到可解释结果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重复与并发</w:t>
            </w:r>
          </w:p>
        </w:tc>
        <w:tc>
          <w:tcPr>
            <w:tcW w:type="dxa" w:w="684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同图改名、重新扫描、不同用户重复、并发登记均需专项测试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财务处理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确认前不登记；复核后状态准确；不合规有原因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原件与删除</w:t>
            </w:r>
          </w:p>
        </w:tc>
        <w:tc>
          <w:tcPr>
            <w:tcW w:type="dxa" w:w="684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原件可读取且权限正确；删除未登记任务同步移除原件；已登记不能普通删除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归档导出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按上传日期分层；全量清单与原件对应；缺件有记录或明确失败提示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故障与恢复</w:t>
            </w:r>
          </w:p>
        </w:tc>
        <w:tc>
          <w:tcPr>
            <w:tcW w:type="dxa" w:w="684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异常停止、磁盘不足、网络中断可识别；独立环境恢复后数量与原件校验一致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待验收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本表为现场验收清单，不是已通过的测试报告。开发测试记录不能替代公司环境的真实样本、安全和恢复测试。验收过程应记录日期、执行人、样本编号和证据位置。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七  性能验证与遗留问题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7.3  一人一天一万张的验证方法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10000 张/天是业务目标，不是当前已证明的能力。以 8 小时工作日计，平均约需完成 1250 张/小时；人工复核与财务确认也必须纳入总耗时，不能只统计上传速度。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按公司实际图片尺寸和票种准备样本，分别记录首次模型下载与预热后性能，测试单批及持续工作负载。默认后台 Worker 为 4；增加并发前检查 CPU、内存和磁盘，不保证线程越多越快。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7200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交付时填写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服务器与样本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CPU/内存：________  样本数/票种：________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处理速度与失败情况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总耗时：________  张/小时：________  失败数：________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识别与人工工作量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关键字段准确率：________  转人工比例：________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完成口径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已上传/已识别/已登记分别计数：________________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目标与结论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目标：________  实测是否满足：________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7.4  需要管理的遗留问题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业务接入：手机扫描录入、财务系统对接、付款联动、自动税务查验及完整审批补证流程尚未实现。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权限与审计：当前不是多公司或多部门隔离系统；审计记录保存在后台，尚无完整审计查询界面；转岗及失败锁定需要专项验证。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稳定性与效率：大批量吞吐、模型并发、重启后任务恢复需要验证；列表条数有限；上传前后端大小限制不一致；停止脚本需进一步加固。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登记与留痕：疑似重复能转复核，但最终人工登记仍需防重复核验，并发登记防线必须专项验收。删除为永久删除，无回收站；已登记更正需要受控流程。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运维能力：暂无完整的自动备份、恢复向导、日志轮转、告警和 Windows 常驻服务安装方案，需 IT 配套。未解决的阻断问题不得带入正式上线。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7.5  验收结论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验收版本：________  日期：________</w:t>
        <w:br/>
        <w:t>结论：通过 / 有条件通过 / 不通过</w:t>
        <w:br/>
        <w:t>遗留问题与负责人、期限：________________________________</w:t>
        <w:br/>
        <w:t>财务签字：________  IT签字：________  业务负责人签字：________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八  运行维护与交接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8.1  日常巡检与责任分工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48"/>
        <w:gridCol w:w="5472"/>
        <w:gridCol w:w="2304"/>
      </w:tblGrid>
      <w:tr>
        <w:trPr>
          <w:cantSplit/>
          <w:tblHeader/>
        </w:trPr>
        <w:tc>
          <w:tcPr>
            <w:tcW w:type="dxa" w:w="244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频次建议</w:t>
            </w:r>
          </w:p>
        </w:tc>
        <w:tc>
          <w:tcPr>
            <w:tcW w:type="dxa" w:w="547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检查事项</w:t>
            </w:r>
          </w:p>
        </w:tc>
        <w:tc>
          <w:tcPr>
            <w:tcW w:type="dxa" w:w="230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执行人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每日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服务可访问、长时间处理中任务、OCR异常、原件与磁盘空间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每日或每批次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待复核积压、疑似重复、不合规原因、登记与原件对应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财务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定期及人员变动时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账号启停、岗位授权、服务账号与备份目录访问权限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管理员、IT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每次升级或规则修改后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版本、配置、样本回归及回退可用性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IT、财务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按公司确定周期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备份恢复演练、抽查审计与历史原件完整性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IT、财务负责人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8.2  完整备份操作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通知暂停上传、复核和导出，等待正在执行的任务结束。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记录当前版本与任务数量，确认服务进程归属后停止服务。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备份 data 目录、upload_invoice 全部层级、policy.json、skills 目录、当前代码及启动配置。模型缓存可单独备份，或记录重新下载方法。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在受控且与生产磁盘分离的位置保存备份，记录时间、文件数、校验值和恢复版本。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05  重启服务，确认可登录与原件可读取，再通知恢复使用。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SQLite 使用过程中可能有 WAL/SHM 伴随文件。不要只复制运行中的单个 .db 文件当作一致备份；停机后完整保存 data，或由 IT 实现经验证的 SQLite 在线备份方案。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备份频率、保留期限和异地副本由公司确定；本系统不会自动执行这些步骤。不要把数据库、原件、密码或备份提交到 GitHub。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8.3  恢复验证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先在隔离环境演练，禁止直接覆盖仍在运行的生产目录；保留故障现场副本。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恢复匹配版本的代码、配置、数据库和原件，再安装依赖。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数据库保存了原件绝对路径，优先恢复到相同绝对目录；换机换路径需 IT 做路径映射迁移并验证，不能只复制文件。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启动后核对账号、任务总数、状态、抽样原件校验、权限和导出，财务对账后再切换使用。</w:t>
      </w:r>
    </w:p>
    <w:p>
      <w:r>
        <w:br w:type="page"/>
      </w:r>
    </w:p>
    <w:p>
      <w:pPr>
        <w:pStyle w:val="Heading1"/>
        <w:keepNext/>
        <w:spacing w:before="0" w:after="140" w:line="264" w:lineRule="auto"/>
      </w:pPr>
      <w:r>
        <w:rPr>
          <w:rFonts w:ascii="Microsoft YaHei" w:hAnsi="Microsoft YaHei" w:eastAsia="微软雅黑"/>
          <w:b/>
          <w:color w:val="000000"/>
          <w:sz w:val="27"/>
        </w:rPr>
        <w:t>八  升级规则维护与交接记录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8.4  升级与回退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上线前记录 Git commit 或发布标签，完整备份旧版数据与原件；在测试副本验证新版本。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维护窗口停止写入后部署新代码及依赖，执行第三至七部分关键检查。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若不满足条件，暂停服务并按回退方案恢复匹配的代码、配置和数据；数据库结构改变时不得只回退代码。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回退会影响升级后新增数据，必须先保存增量并由财务决定补录与对账方式。GitHub 只管理代码，不能找回未入库备份的业务数据。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8.5  修改财务合规 Skill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规则说明文件：skills/finance-compliance/SKILL.md；机器执行配置：policy.json。修改规则须由财务负责人批准、IT 实施，不在生产文件中临时试错。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032"/>
        <w:gridCol w:w="2376"/>
        <w:gridCol w:w="3816"/>
      </w:tblGrid>
      <w:tr>
        <w:trPr>
          <w:cantSplit/>
          <w:tblHeader/>
        </w:trPr>
        <w:tc>
          <w:tcPr>
            <w:tcW w:type="dxa" w:w="403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配置项</w:t>
            </w:r>
          </w:p>
        </w:tc>
        <w:tc>
          <w:tcPr>
            <w:tcW w:type="dxa" w:w="237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当前值</w:t>
            </w:r>
          </w:p>
        </w:tc>
        <w:tc>
          <w:tcPr>
            <w:tcW w:type="dxa" w:w="3816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low_confidence_threshold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0.85</w:t>
            </w:r>
          </w:p>
        </w:tc>
        <w:tc>
          <w:tcPr>
            <w:tcW w:type="dxa" w:w="381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低置信度转复核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amount_tolerance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0.02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金额与税额加总误差容忍值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auto_register_invoice_limit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3000</w:t>
            </w:r>
          </w:p>
        </w:tc>
        <w:tc>
          <w:tcPr>
            <w:tcW w:type="dxa" w:w="381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正常条件下的自动判断分流阈值，仍待财务确认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manual_review_invoice_limit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超出后提示负责人审批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required_fields</w:t>
            </w:r>
          </w:p>
        </w:tc>
        <w:tc>
          <w:tcPr>
            <w:tcW w:type="dxa" w:w="237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号码、日期、销售方、购买方、价税合计</w:t>
            </w:r>
          </w:p>
        </w:tc>
        <w:tc>
          <w:tcPr>
            <w:tcW w:type="dxa" w:w="3816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缺失时转复核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01  备份规则文件，记录旧值、新值、原因、批准人和生效日期。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02  同步修改说明与 JSON；仅改 SKILL.md 文本不保证机器判断改变。新增判断条件还需调整执行代码与测试。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03  在测试环境用阈值以下、等于、以上以及缺字段、重复票等样本回归。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04  确认后发布并记录生效批次；历史记录不会因改配置自动重新判断，重处理须保留旧依据并走受控流程。</w:t>
      </w:r>
    </w:p>
    <w:p>
      <w:pPr>
        <w:pStyle w:val="Heading3"/>
        <w:keepNext/>
        <w:spacing w:before="200" w:after="140" w:line="264" w:lineRule="auto"/>
      </w:pPr>
      <w:r>
        <w:rPr>
          <w:rFonts w:ascii="Microsoft YaHei" w:hAnsi="Microsoft YaHei" w:eastAsia="微软雅黑"/>
          <w:b/>
          <w:color w:val="000000"/>
          <w:sz w:val="23"/>
        </w:rPr>
        <w:t>8.6  运维交接与文档修订</w:t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  <w:t>业务负责人：________  财务联系人：________  IT联系人：________</w:t>
        <w:br/>
        <w:t>报障渠道：________  服务时段：________  响应目标：________</w:t>
        <w:br/>
        <w:t>停机/恢复通知渠道：________  升级审批人：________</w:t>
      </w:r>
    </w:p>
    <w:tbl>
      <w:tblPr>
        <w:tblStyle w:val="Table6"/>
        <w:tblW w:w="10440.0" w:type="dxa"/>
        <w:jc w:val="center"/>
        <w:tblLayout w:type="fixed"/>
        <w:tblLook w:val="04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08"/>
        <w:gridCol w:w="1872"/>
        <w:gridCol w:w="7344"/>
      </w:tblGrid>
      <w:tr>
        <w:trPr>
          <w:cantSplit/>
          <w:tblHeader/>
        </w:trPr>
        <w:tc>
          <w:tcPr>
            <w:tcW w:type="dxa" w:w="1008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7344"/>
            <w:vAlign w:val="center"/>
            <w:shd w:fill="CFE2F3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0"/>
              </w:rPr>
              <w:t>修订内容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V1.0</w:t>
            </w:r>
          </w:p>
        </w:tc>
        <w:tc>
          <w:tcPr>
            <w:tcW w:type="dxa" w:w="1872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2026年9月5日</w:t>
            </w:r>
          </w:p>
        </w:tc>
        <w:tc>
          <w:tcPr>
            <w:tcW w:type="dxa" w:w="7344"/>
            <w:vAlign w:val="center"/>
            <w:shd w:fill="F5F8FB"/>
          </w:tcPr>
          <w:p>
            <w:pPr>
              <w:keepNext w:val="0"/>
              <w:spacing w:before="0" w:after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首次整合产品流程、角色操作、部署、异常、验收和运维；公司上线时填写版本、配置及责任人。</w:t>
            </w:r>
          </w:p>
        </w:tc>
      </w:tr>
    </w:tbl>
    <w:p>
      <w:pPr>
        <w:keepNext w:val="0"/>
        <w:widowControl/>
        <w:spacing w:before="0" w:after="4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2"/>
        </w:rPr>
      </w:r>
    </w:p>
    <w:p>
      <w:pPr>
        <w:keepNext w:val="0"/>
        <w:widowControl/>
        <w:spacing w:before="0" w:after="120" w:line="283" w:lineRule="auto"/>
        <w:ind w:left="0" w:firstLine="0"/>
      </w:pPr>
      <w:r>
        <w:rPr>
          <w:rFonts w:ascii="Microsoft YaHei" w:hAnsi="Microsoft YaHei" w:eastAsia="微软雅黑"/>
          <w:b w:val="0"/>
          <w:color w:val="000000"/>
          <w:sz w:val="20"/>
        </w:rPr>
        <w:t>后续功能变化须同步修订相关步骤、权限表、已知问题与验收用例，保留旧版手册用于追溯。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Microsoft YaHei" w:hAnsi="Microsoft YaHei" w:eastAsia="微软雅黑"/>
        <w:b w:val="0"/>
        <w:color w:val="5B7085"/>
        <w:sz w:val="16"/>
      </w:rPr>
      <w:t xml:space="preserve">票据流 Agent  |  使用与运维手册 V1.0  |  </w:t>
    </w:r>
    <w:r>
      <w:rPr>
        <w:rFonts w:ascii="Microsoft YaHei" w:hAnsi="Microsoft YaHei" w:eastAsia="微软雅黑"/>
        <w:b w:val="0"/>
        <w:color w:val="5B7085"/>
        <w:sz w:val="16"/>
      </w:rPr>
    </w:r>
    <w:fldSimple w:instr="PAGE">
      <w:r>
        <w:t>1</w:t>
      </w:r>
    </w:fldSimple>
    <w:r>
      <w:rPr>
        <w:rFonts w:ascii="Microsoft YaHei" w:hAnsi="Microsoft YaHei" w:eastAsia="微软雅黑"/>
        <w:b w:val="0"/>
        <w:color w:val="5B7085"/>
        <w:sz w:val="16"/>
      </w:rPr>
      <w:t xml:space="preserve"> / </w:t>
    </w:r>
    <w:r>
      <w:rPr>
        <w:rFonts w:ascii="Microsoft YaHei" w:hAnsi="Microsoft YaHei" w:eastAsia="微软雅黑"/>
        <w:b w:val="0"/>
        <w:color w:val="5B7085"/>
        <w:sz w:val="16"/>
      </w:rPr>
    </w:r>
    <w:fldSimple w:instr="NUMPAGES">
      <w:r>
        <w:t>1</w:t>
      </w:r>
    </w:fldSimple>
    <w:r>
      <w:rPr>
        <w:rFonts w:ascii="Microsoft YaHei" w:hAnsi="Microsoft YaHei" w:eastAsia="微软雅黑"/>
        <w:b w:val="0"/>
        <w:color w:val="5B7085"/>
        <w:sz w:val="16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