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5A6A85"/>
          <w:sz w:val="20"/>
          <w:szCs w:val="20"/>
        </w:rPr>
        <w:t xml:space="preserve">BRANCH 541-A · PRMG LAS VEGAS</w:t>
      </w:r>
    </w:p>
    <w:p>
      <w:pPr>
        <w:spacing w:after="160" w:before="0"/>
      </w:pPr>
      <w:r>
        <w:rPr>
          <w:rFonts w:ascii="Arial" w:cs="Arial" w:eastAsia="Arial" w:hAnsi="Arial"/>
          <w:b/>
          <w:bCs/>
          <w:color w:val="5A1F8A"/>
          <w:sz w:val="56"/>
          <w:szCs w:val="56"/>
        </w:rPr>
        <w:t xml:space="preserve">HELOC &amp; Second Mortgage Reference</w:t>
      </w:r>
    </w:p>
    <w:p>
      <w:pPr>
        <w:spacing w:after="400" w:before="0"/>
      </w:pPr>
      <w:r>
        <w:rPr>
          <w:rFonts w:ascii="Arial" w:cs="Arial" w:eastAsia="Arial" w:hAnsi="Arial"/>
          <w:color w:val="5A6A85"/>
          <w:sz w:val="24"/>
          <w:szCs w:val="24"/>
        </w:rPr>
        <w:t xml:space="preserve">Lightning HELOC · Symmetry HELOC · Closed End Second Elite · Expanded Access · Classic Elite</w:t>
      </w:r>
    </w:p>
    <w:p>
      <w:pPr>
        <w:pBdr>
          <w:bottom w:val="single" w:color="5A1F8A" w:sz="6" w:space="1"/>
        </w:pBdr>
        <w:spacing w:after="160" w:before="0"/>
      </w:pPr>
      <w:r>
        <w:t xml:space="preserve"/>
      </w:r>
    </w:p>
    <w:p>
      <w:pPr>
        <w:spacing w:after="200" w:before="200"/>
      </w:pPr>
      <w:r>
        <w:t xml:space="preserve"/>
      </w:r>
    </w:p>
    <w:p>
      <w:pPr>
        <w:spacing w:after="80" w:before="0"/>
      </w:pPr>
      <w:r>
        <w:rPr>
          <w:rFonts w:ascii="Arial" w:cs="Arial" w:eastAsia="Arial" w:hAnsi="Arial"/>
          <w:b/>
          <w:bCs/>
          <w:color w:val="0A1628"/>
          <w:sz w:val="22"/>
          <w:szCs w:val="22"/>
        </w:rPr>
        <w:t xml:space="preserve">Jose Del Valle · NMLS# 2686066</w:t>
      </w:r>
    </w:p>
    <w:p>
      <w:pPr>
        <w:spacing w:after="80" w:before="0"/>
      </w:pPr>
      <w:r>
        <w:rPr>
          <w:rFonts w:ascii="Arial" w:cs="Arial" w:eastAsia="Arial" w:hAnsi="Arial"/>
          <w:color w:val="5A6A85"/>
          <w:sz w:val="20"/>
          <w:szCs w:val="20"/>
        </w:rPr>
        <w:t xml:space="preserve">Branch Manager &amp; MLO · PRMG Branch 541-A</w:t>
      </w:r>
    </w:p>
    <w:p>
      <w:pPr>
        <w:spacing w:after="80" w:before="0"/>
      </w:pPr>
      <w:r>
        <w:rPr>
          <w:rFonts w:ascii="Arial" w:cs="Arial" w:eastAsia="Arial" w:hAnsi="Arial"/>
          <w:color w:val="5A6A85"/>
          <w:sz w:val="20"/>
          <w:szCs w:val="20"/>
        </w:rPr>
        <w:t xml:space="preserve">Las Vegas, NV ·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F8A" w:sz="4"/>
              <w:left w:val="single" w:color="5A1F8A" w:sz="12"/>
              <w:bottom w:val="none" w:color="FFFFFF" w:sz="0"/>
              <w:right w:val="none" w:color="FFFFFF" w:sz="0"/>
            </w:tcBorders>
            <w:shd w:fill="EDE0FF" w:val="clear"/>
            <w:tcMar>
              <w:top w:type="dxa" w:w="100"/>
              <w:left w:type="dxa" w:w="160"/>
              <w:bottom w:type="dxa" w:w="100"/>
              <w:right w:type="dxa" w:w="160"/>
            </w:tcMar>
          </w:tcPr>
          <w:p>
            <w:r>
              <w:rPr>
                <w:rFonts w:ascii="Arial" w:cs="Arial" w:eastAsia="Arial" w:hAnsi="Arial"/>
                <w:color w:val="5A1F8A"/>
                <w:sz w:val="18"/>
                <w:szCs w:val="18"/>
              </w:rPr>
              <w:t xml:space="preserve">Market context April 2026: $11.5 trillion in tappable equity nationwide. 97% of that equity remained unused in 2025. Average HELOC rate 7.20%. Homeowners with low first mortgage rates will NOT cash-out refi — they need a second mortgage product. You have five.</w:t>
            </w:r>
          </w:p>
        </w:tc>
      </w:tr>
    </w:tbl>
    <w:p>
      <w:pPr>
        <w:spacing w:after="80" w:before="80"/>
      </w:pPr>
      <w:r>
        <w:t xml:space="preserve"/>
      </w:r>
    </w:p>
    <w:p>
      <w:pPr>
        <w:pStyle w:val="Heading2"/>
        <w:spacing w:after="100" w:before="240"/>
      </w:pPr>
      <w:r>
        <w:rPr>
          <w:rFonts w:ascii="Arial" w:cs="Arial" w:eastAsia="Arial" w:hAnsi="Arial"/>
          <w:b/>
          <w:bCs/>
          <w:color w:val="5A1F8A"/>
          <w:sz w:val="28"/>
          <w:szCs w:val="28"/>
        </w:rPr>
        <w:t xml:space="preserve">Open-End Products — HELOC</w:t>
      </w:r>
    </w:p>
    <w:p>
      <w:pPr>
        <w:spacing w:after="80" w:before="200"/>
      </w:pPr>
      <w:r>
        <w:rPr>
          <w:rFonts w:ascii="Arial" w:cs="Arial" w:eastAsia="Arial" w:hAnsi="Arial"/>
          <w:b/>
          <w:bCs/>
          <w:color w:val="5A1F8A"/>
          <w:sz w:val="22"/>
          <w:szCs w:val="22"/>
        </w:rPr>
        <w:t xml:space="preserve">Lightning Equity Hybrid HELOC  ★  LEAD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F8A" w:sz="4"/>
              <w:left w:val="single" w:color="5A1F8A" w:sz="12"/>
              <w:bottom w:val="none" w:color="FFFFFF" w:sz="0"/>
              <w:right w:val="none" w:color="FFFFFF" w:sz="0"/>
            </w:tcBorders>
            <w:shd w:fill="EDE0FF" w:val="clear"/>
            <w:tcMar>
              <w:top w:type="dxa" w:w="100"/>
              <w:left w:type="dxa" w:w="160"/>
              <w:bottom w:type="dxa" w:w="100"/>
              <w:right w:type="dxa" w:w="160"/>
            </w:tcMar>
          </w:tcPr>
          <w:p>
            <w:r>
              <w:rPr>
                <w:rFonts w:ascii="Arial" w:cs="Arial" w:eastAsia="Arial" w:hAnsi="Arial"/>
                <w:color w:val="5A1F8A"/>
                <w:sz w:val="18"/>
                <w:szCs w:val="18"/>
              </w:rPr>
              <w:t xml:space="preserve">This is your flagship HELOC. Lead with Lightning on every HELOC conversation. The fixed-lock draw feature is the one objection-killer that closes hesitant borrowers — they get HELOC flexibility without full variable rate exposure. No bank in your market offers this feature.</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Product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Open-end revolving line of credit — HELOC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structure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A1F8A"/>
                <w:sz w:val="19"/>
                <w:szCs w:val="19"/>
              </w:rPr>
              <w:t xml:space="preserve">HYBRID — variable revolving line with fixed-rate lock option on individual draws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Key differentiator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Borrower can lock specific draws into a fixed rate segment — reduces variable exposure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Draw period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Revolving — draw, repay, redraw during draw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CLTV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Confirm current PRMG guidelines with product desk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Min credit score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Confirm with PRMG Lightning product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States active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NV (licensed) · FL (licensed) · Expand with each new state license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Competitive advantage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No bank in NV or FL market offers the fixed-lock draw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Best pitch angle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A1F8A"/>
                <w:sz w:val="19"/>
                <w:szCs w:val="19"/>
              </w:rPr>
              <w:t xml:space="preserve">"Keep your mortgage rate. Tap your equity. Lock your draws at a fixed rate."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Referral targets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Contractors, past DPA clients, Sales Boomerang equity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Comp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Confirm exact bps or flat fee with PRMG branch agreement</w:t>
            </w:r>
          </w:p>
        </w:tc>
      </w:tr>
    </w:tbl>
    <w:p>
      <w:pPr>
        <w:spacing w:after="80" w:before="120"/>
      </w:pPr>
      <w:r>
        <w:t xml:space="preserve"/>
      </w:r>
    </w:p>
    <w:p>
      <w:pPr>
        <w:spacing w:after="80" w:before="200"/>
      </w:pPr>
      <w:r>
        <w:rPr>
          <w:rFonts w:ascii="Arial" w:cs="Arial" w:eastAsia="Arial" w:hAnsi="Arial"/>
          <w:b/>
          <w:bCs/>
          <w:color w:val="5A1F8A"/>
          <w:sz w:val="22"/>
          <w:szCs w:val="22"/>
        </w:rPr>
        <w:t xml:space="preserve">Symmetry HELOC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Product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Standard revolving HELOC — open-end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structure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Prime + margin — fully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Current prime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6.75% (April 2026)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Draw period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Typically 10-year draw / 20-year repayment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Use vs. Lightning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A04800"/>
                <w:sz w:val="19"/>
                <w:szCs w:val="19"/>
              </w:rPr>
              <w:t xml:space="preserve">Use when borrower prefers simplicity over hybrid structure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Best for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Rate-confident borrowers, smaller draw amounts, straightforward needs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Positioning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Present Lightning first. If borrower finds hybrid confusing, offer Symmetry.</w:t>
            </w:r>
          </w:p>
        </w:tc>
      </w:tr>
    </w:tbl>
    <w:p>
      <w:pPr>
        <w:spacing w:after="80" w:before="160"/>
      </w:pPr>
      <w:r>
        <w:t xml:space="preserve"/>
      </w:r>
    </w:p>
    <w:p>
      <w:pPr>
        <w:pStyle w:val="Heading2"/>
        <w:spacing w:after="100" w:before="240"/>
      </w:pPr>
      <w:r>
        <w:rPr>
          <w:rFonts w:ascii="Arial" w:cs="Arial" w:eastAsia="Arial" w:hAnsi="Arial"/>
          <w:b/>
          <w:bCs/>
          <w:color w:val="5A1F8A"/>
          <w:sz w:val="28"/>
          <w:szCs w:val="28"/>
        </w:rPr>
        <w:t xml:space="preserve">Closed-End Second Mortgage Products</w:t>
      </w:r>
    </w:p>
    <w:p>
      <w:pPr>
        <w:spacing w:after="80" w:before="200"/>
      </w:pPr>
      <w:r>
        <w:rPr>
          <w:rFonts w:ascii="Arial" w:cs="Arial" w:eastAsia="Arial" w:hAnsi="Arial"/>
          <w:b/>
          <w:bCs/>
          <w:color w:val="5A1F8A"/>
          <w:sz w:val="22"/>
          <w:szCs w:val="22"/>
        </w:rPr>
        <w:t xml:space="preserve">Closed End Second Expanded Access  ★  ITIN EQUITY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F8A" w:sz="4"/>
              <w:left w:val="single" w:color="5A1F8A" w:sz="12"/>
              <w:bottom w:val="none" w:color="FFFFFF" w:sz="0"/>
              <w:right w:val="none" w:color="FFFFFF" w:sz="0"/>
            </w:tcBorders>
            <w:shd w:fill="EDE0FF" w:val="clear"/>
            <w:tcMar>
              <w:top w:type="dxa" w:w="100"/>
              <w:left w:type="dxa" w:w="160"/>
              <w:bottom w:type="dxa" w:w="100"/>
              <w:right w:type="dxa" w:w="160"/>
            </w:tcMar>
          </w:tcPr>
          <w:p>
            <w:r>
              <w:rPr>
                <w:rFonts w:ascii="Arial" w:cs="Arial" w:eastAsia="Arial" w:hAnsi="Arial"/>
                <w:color w:val="5A1F8A"/>
                <w:sz w:val="18"/>
                <w:szCs w:val="18"/>
              </w:rPr>
              <w:t xml:space="preserve">This is your highest-moat product in the entire second mortgage stack. A self-employed ITIN borrower who bought a home 4 years ago has built equity but cannot get a second mortgage at any bank. You can close it with bank statement income. No competitor in your bilingual market is offering this.</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Product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Non-QM standalone second mortgage — closed-end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documentation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Bank statement (12–24 months), P&amp;L, asset depletion — NO W-2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ITIN borrowers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Eligible — Non-QM guidelines support ITIN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Non-Permanent Residents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Eligible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DTI tolerance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Non-QM flexibility — higher than agency standard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Best use case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Self-employed homeowners, ITIN clients, gig workers — bank declines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Moat factor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bank in NV or FL market offers Non-QM second to ITIN borrowers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Intake trigger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TaxDome: Do you own a home? checkbox for ITIN clients = auto-flag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SmartBee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Every ITIN homeowner in SmartBee database is a potential client</w:t>
            </w:r>
          </w:p>
        </w:tc>
      </w:tr>
    </w:tbl>
    <w:p>
      <w:pPr>
        <w:spacing w:after="80" w:before="120"/>
      </w:pPr>
      <w:r>
        <w:t xml:space="preserve"/>
      </w:r>
    </w:p>
    <w:p>
      <w:pPr>
        <w:spacing w:after="80" w:before="200"/>
      </w:pPr>
      <w:r>
        <w:rPr>
          <w:rFonts w:ascii="Arial" w:cs="Arial" w:eastAsia="Arial" w:hAnsi="Arial"/>
          <w:b/>
          <w:bCs/>
          <w:color w:val="5A1F8A"/>
          <w:sz w:val="22"/>
          <w:szCs w:val="22"/>
        </w:rPr>
        <w:t xml:space="preserve">Closed End Second Elite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Product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Non-QM standalone second mortgage — cleaner profile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Profile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Stronger credit / lower LTV Non-QM borrowers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Pricing vs. Expanded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Better rate — cleaner guidelines, lower risk premium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Use sequence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A04800"/>
                <w:sz w:val="19"/>
                <w:szCs w:val="19"/>
              </w:rPr>
              <w:t xml:space="preserve">Try Elite first — step down to Expanded Access if borrower doesn't qualify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Best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Self-employed with strong bank deposits but non-W2 income</w:t>
            </w:r>
          </w:p>
        </w:tc>
      </w:tr>
    </w:tbl>
    <w:p>
      <w:pPr>
        <w:spacing w:after="80" w:before="120"/>
      </w:pPr>
      <w:r>
        <w:t xml:space="preserve"/>
      </w:r>
    </w:p>
    <w:p>
      <w:pPr>
        <w:spacing w:after="80" w:before="200"/>
      </w:pPr>
      <w:r>
        <w:rPr>
          <w:rFonts w:ascii="Arial" w:cs="Arial" w:eastAsia="Arial" w:hAnsi="Arial"/>
          <w:b/>
          <w:bCs/>
          <w:color w:val="5A1F8A"/>
          <w:sz w:val="22"/>
          <w:szCs w:val="22"/>
        </w:rPr>
        <w:t xml:space="preserve">Closed End Second Classic Elite  ★  DUAL ORIGINATION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F8A" w:sz="4"/>
              <w:left w:val="single" w:color="5A1F8A" w:sz="12"/>
              <w:bottom w:val="none" w:color="FFFFFF" w:sz="0"/>
              <w:right w:val="none" w:color="FFFFFF" w:sz="0"/>
            </w:tcBorders>
            <w:shd w:fill="EDE0FF" w:val="clear"/>
            <w:tcMar>
              <w:top w:type="dxa" w:w="100"/>
              <w:left w:type="dxa" w:w="160"/>
              <w:bottom w:type="dxa" w:w="100"/>
              <w:right w:type="dxa" w:w="160"/>
            </w:tcMar>
          </w:tcPr>
          <w:p>
            <w:r>
              <w:rPr>
                <w:rFonts w:ascii="Arial" w:cs="Arial" w:eastAsia="Arial" w:hAnsi="Arial"/>
                <w:color w:val="5A1F8A"/>
                <w:sz w:val="18"/>
                <w:szCs w:val="18"/>
              </w:rPr>
              <w:t xml:space="preserve">This is your pivot product when a buyer is declined for DPA due to income. Run the 80/15/5 calculation in the same call. "You don't qualify for assistance, but I have a structure that eliminates your PMI and gets you to the same monthly payment with 5% down." This converts a lost DPA lead into two originations.</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Product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Agency-grade concurrent piggyback OR standalone second mortgage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Primary use — piggyback</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80/10/10 or 80/15/5 structure — eliminates PMI on first lien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Standalone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Pull equity from existing property without touching first lien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PMI elimination value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$320,000 purchase — eliminates ~$150–$180/month PMI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Dual comp opportunity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First lien 150 bps + second lien comp = dual origination on one transaction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Pivot script trigger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A1F8A"/>
                <w:sz w:val="19"/>
                <w:szCs w:val="19"/>
              </w:rPr>
              <w:t xml:space="preserve">Every over-income DPA decline → immediately run piggyback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DTI 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Combined payment of first + second must qualify — run DU with both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Agency guidelines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Fannie/Freddie eligible — cleaner underwriting, better rate than Non-QM</w:t>
            </w:r>
          </w:p>
        </w:tc>
      </w:tr>
    </w:tbl>
    <w:p>
      <w:pPr>
        <w:spacing w:after="80" w:before="160"/>
      </w:pPr>
      <w:r>
        <w:t xml:space="preserve"/>
      </w:r>
    </w:p>
    <w:p>
      <w:pPr>
        <w:pStyle w:val="Heading2"/>
        <w:spacing w:after="100" w:before="240"/>
      </w:pPr>
      <w:r>
        <w:rPr>
          <w:rFonts w:ascii="Arial" w:cs="Arial" w:eastAsia="Arial" w:hAnsi="Arial"/>
          <w:b/>
          <w:bCs/>
          <w:color w:val="5A1F8A"/>
          <w:sz w:val="28"/>
          <w:szCs w:val="28"/>
        </w:rPr>
        <w:t xml:space="preserve">Use Case Reference — Which Product for Which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Client scenario</w:t>
            </w:r>
          </w:p>
        </w:tc>
        <w:tc>
          <w:tcPr>
            <w:tcW w:type="dxa" w:w="268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Product</w:t>
            </w:r>
          </w:p>
        </w:tc>
        <w:tc>
          <w:tcPr>
            <w:tcW w:type="dxa" w:w="368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Key pitch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Past DPA client with equity — won't refi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A1F8A"/>
                <w:sz w:val="19"/>
                <w:szCs w:val="19"/>
              </w:rPr>
              <w:t xml:space="preserve">Lightning Equity Hybrid HELOC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Keep your rate. Tap your equity.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ITIN borrower — homeowner — bank declined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A1F8A"/>
                <w:sz w:val="19"/>
                <w:szCs w:val="19"/>
              </w:rPr>
              <w:t xml:space="preserve">CE Second Expanded Access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Bank statement income. No W-2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Buyer over DPA income limit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A1F8A"/>
                <w:sz w:val="19"/>
                <w:szCs w:val="19"/>
              </w:rPr>
              <w:t xml:space="preserve">CE Second Classic Elite (80/15/5)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Same payment, no PMI, 5% down.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Client with high-interest credit card debt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A1F8A"/>
                <w:sz w:val="19"/>
                <w:szCs w:val="19"/>
              </w:rPr>
              <w:t xml:space="preserve">Symmetry HELOC or CE Second Elite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$28K credit card at 21% → HELOC at 7.2% = $418/mo savings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Investor needs DP for rental purchase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A1F8A"/>
                <w:sz w:val="19"/>
                <w:szCs w:val="19"/>
              </w:rPr>
              <w:t xml:space="preserve">Lightning HELOC on primary → fund DSCR purchase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Use equity as down payment line — two originations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Rate-confident borrower — large renovation</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Symmetry HELOC</w:t>
            </w:r>
          </w:p>
        </w:tc>
        <w:tc>
          <w:tcPr>
            <w:tcW w:type="dxa" w:w="3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Simple revolving line, full flexibility</w:t>
            </w:r>
          </w:p>
        </w:tc>
      </w:tr>
    </w:tbl>
    <w:p>
      <w:pPr>
        <w:spacing w:after="80" w:before="160"/>
      </w:pPr>
      <w:r>
        <w:t xml:space="preserve"/>
      </w:r>
    </w:p>
    <w:p>
      <w:pPr>
        <w:pStyle w:val="Heading2"/>
        <w:spacing w:after="100" w:before="240"/>
      </w:pPr>
      <w:r>
        <w:rPr>
          <w:rFonts w:ascii="Arial" w:cs="Arial" w:eastAsia="Arial" w:hAnsi="Arial"/>
          <w:b/>
          <w:bCs/>
          <w:color w:val="5A1F8A"/>
          <w:sz w:val="28"/>
          <w:szCs w:val="28"/>
        </w:rPr>
        <w:t xml:space="preserve">Referral Partner Strategy — HELOC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Partner type</w:t>
            </w:r>
          </w:p>
        </w:tc>
        <w:tc>
          <w:tcPr>
            <w:tcW w:type="dxa" w:w="3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Why they refer HELOC clients</w:t>
            </w:r>
          </w:p>
        </w:tc>
        <w:tc>
          <w:tcPr>
            <w:tcW w:type="dxa" w:w="396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Your pitch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Home contractors / remodelers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Clients need renovation funding — contractor loses jobs to budget constraints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 fund your clients' projects in 3 weeks. Fixed-lock HELOC. You close more jobs."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CPAs / SmartBee tax preparers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ITIN clients with equity — banks turn them down</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"ITIN homeowner clients — I close Non-QM seconds using bank statements."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Financial advisors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Clients need liquidity without selling investments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"HELOC at 7.2% vs. liquidating portfolio at capital gains tax cost."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Real estate investors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Need down payment for next property without selling assets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"Use your primary equity as a down payment line for your next rental."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Your past DPA clients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Sales Boomerang equity alert fires automatically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"Your home appreciated. You can access equity without touching your rate."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Hispanic notaries / servicios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ITIN homeowners — trusted community referral figures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Spanish-language pitch: Non-QM second for ITIN homeowners</w:t>
            </w:r>
          </w:p>
        </w:tc>
      </w:tr>
    </w:tbl>
    <w:p>
      <w:pPr>
        <w:spacing w:after="80" w:before="120"/>
      </w:pPr>
      <w:r>
        <w:t xml:space="preserve"/>
      </w:r>
    </w:p>
    <w:p>
      <w:pPr>
        <w:pStyle w:val="Heading2"/>
        <w:spacing w:after="100" w:before="240"/>
      </w:pPr>
      <w:r>
        <w:rPr>
          <w:rFonts w:ascii="Arial" w:cs="Arial" w:eastAsia="Arial" w:hAnsi="Arial"/>
          <w:b/>
          <w:bCs/>
          <w:color w:val="5A1F8A"/>
          <w:sz w:val="28"/>
          <w:szCs w:val="28"/>
        </w:rPr>
        <w:t xml:space="preserve">Sales Boomerang + Total Expert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80"/>
        <w:gridCol w:w="2680"/>
      </w:tblGrid>
      <w:tr>
        <w:tc>
          <w:tcPr>
            <w:tcW w:type="dxa" w:w="22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Trigger</w:t>
            </w:r>
          </w:p>
        </w:tc>
        <w:tc>
          <w:tcPr>
            <w:tcW w:type="dxa" w:w="248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Automatic action</w:t>
            </w:r>
          </w:p>
        </w:tc>
        <w:tc>
          <w:tcPr>
            <w:tcW w:type="dxa" w:w="2680"/>
            <w:tcBorders>
              <w:top w:val="single" w:color="CCCCCC" w:sz="1"/>
              <w:left w:val="single" w:color="CCCCCC" w:sz="1"/>
              <w:bottom w:val="single" w:color="CCCCCC" w:sz="1"/>
              <w:right w:val="single" w:color="CCCCCC" w:sz="1"/>
            </w:tcBorders>
            <w:shd w:fill="5A1F8A" w:val="clear"/>
            <w:tcMar>
              <w:top w:type="dxa" w:w="80"/>
              <w:left w:type="dxa" w:w="140"/>
              <w:bottom w:type="dxa" w:w="80"/>
              <w:right w:type="dxa" w:w="140"/>
            </w:tcMar>
          </w:tcPr>
          <w:p>
            <w:r>
              <w:rPr>
                <w:rFonts w:ascii="Arial" w:cs="Arial" w:eastAsia="Arial" w:hAnsi="Arial"/>
                <w:b/>
                <w:bCs/>
                <w:color w:val="FFFFFF"/>
                <w:sz w:val="18"/>
                <w:szCs w:val="18"/>
              </w:rPr>
              <w:t xml:space="preserve">Your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Sales Boomerang — Equity Watch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Client hits equity threshold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Alert to Jose / Ana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HELOC call within 48 hours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Sales Boomerang — Credit Watch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Client credit pulled by competitor</w:t>
            </w:r>
          </w:p>
        </w:tc>
        <w:tc>
          <w:tcPr>
            <w:tcW w:type="dxa" w:w="2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Immediate same-day alert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Call immediately — they are shopping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Total Expert — Equity Journey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12 months post-close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Equity check-in email sequence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Confirm journey activated at closing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Total Expert — Annual Review</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12-month anniversary</w:t>
            </w:r>
          </w:p>
        </w:tc>
        <w:tc>
          <w:tcPr>
            <w:tcW w:type="dxa" w:w="2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Home anniversary touchpoint</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Natural segue to equity conversation</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F8A" w:sz="4"/>
              <w:left w:val="single" w:color="5A1F8A" w:sz="12"/>
              <w:bottom w:val="none" w:color="FFFFFF" w:sz="0"/>
              <w:right w:val="none" w:color="FFFFFF" w:sz="0"/>
            </w:tcBorders>
            <w:shd w:fill="EDE0FF" w:val="clear"/>
            <w:tcMar>
              <w:top w:type="dxa" w:w="100"/>
              <w:left w:type="dxa" w:w="160"/>
              <w:bottom w:type="dxa" w:w="100"/>
              <w:right w:type="dxa" w:w="160"/>
            </w:tcMar>
          </w:tcPr>
          <w:p>
            <w:r>
              <w:rPr>
                <w:rFonts w:ascii="Arial" w:cs="Arial" w:eastAsia="Arial" w:hAnsi="Arial"/>
                <w:color w:val="5A1F8A"/>
                <w:sz w:val="18"/>
                <w:szCs w:val="18"/>
              </w:rPr>
              <w:t xml:space="preserve">CRITICAL SETUP: Tag every closed client in Total Expert with their DPA program and estimated current equity. Without this tagging, Sales Boomerang Equity Watch cannot fire correctly. This setup takes Marelis one afternoon — do it this week.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5A1F8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5A1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2026-04-06T08:03:23.583Z</dcterms:created>
  <dcterms:modified xsi:type="dcterms:W3CDTF">2026-04-06T08:03:23.583Z</dcterms:modified>
</cp:coreProperties>
</file>

<file path=docProps/custom.xml><?xml version="1.0" encoding="utf-8"?>
<Properties xmlns="http://schemas.openxmlformats.org/officeDocument/2006/custom-properties" xmlns:vt="http://schemas.openxmlformats.org/officeDocument/2006/docPropsVTypes"/>
</file>