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5A6A85"/>
          <w:sz w:val="20"/>
          <w:szCs w:val="20"/>
        </w:rPr>
        <w:t xml:space="preserve">BRANCH 541-A · PRMG LAS VEGAS</w:t>
      </w:r>
    </w:p>
    <w:p>
      <w:pPr>
        <w:spacing w:after="160" w:before="0"/>
      </w:pPr>
      <w:r>
        <w:rPr>
          <w:rFonts w:ascii="Arial" w:cs="Arial" w:eastAsia="Arial" w:hAnsi="Arial"/>
          <w:b/>
          <w:bCs/>
          <w:color w:val="0F6878"/>
          <w:sz w:val="56"/>
          <w:szCs w:val="56"/>
        </w:rPr>
        <w:t xml:space="preserve">Refi Program Reference</w:t>
      </w:r>
    </w:p>
    <w:p>
      <w:pPr>
        <w:spacing w:after="400" w:before="0"/>
      </w:pPr>
      <w:r>
        <w:rPr>
          <w:rFonts w:ascii="Arial" w:cs="Arial" w:eastAsia="Arial" w:hAnsi="Arial"/>
          <w:color w:val="5A6A85"/>
          <w:sz w:val="24"/>
          <w:szCs w:val="24"/>
        </w:rPr>
        <w:t xml:space="preserve">FHA Streamline · VA IRRRL · RefiNow · Refi Possible · USDA · Second Lien Rules</w:t>
      </w:r>
    </w:p>
    <w:p>
      <w:pPr>
        <w:pBdr>
          <w:bottom w:val="single" w:color="0F6878" w:sz="6" w:space="1"/>
        </w:pBdr>
        <w:spacing w:after="160" w:before="0"/>
      </w:pPr>
      <w:r>
        <w:t xml:space="preserve"/>
      </w:r>
    </w:p>
    <w:p>
      <w:pPr>
        <w:spacing w:after="200" w:before="200"/>
      </w:pPr>
      <w:r>
        <w:t xml:space="preserve"/>
      </w:r>
    </w:p>
    <w:p>
      <w:pPr>
        <w:spacing w:after="80" w:before="0"/>
      </w:pPr>
      <w:r>
        <w:rPr>
          <w:rFonts w:ascii="Arial" w:cs="Arial" w:eastAsia="Arial" w:hAnsi="Arial"/>
          <w:b/>
          <w:bCs/>
          <w:color w:val="0A1628"/>
          <w:sz w:val="22"/>
          <w:szCs w:val="22"/>
        </w:rPr>
        <w:t xml:space="preserve">Jose Del Valle · NMLS# 2686066</w:t>
      </w:r>
    </w:p>
    <w:p>
      <w:pPr>
        <w:spacing w:after="80" w:before="0"/>
      </w:pPr>
      <w:r>
        <w:rPr>
          <w:rFonts w:ascii="Arial" w:cs="Arial" w:eastAsia="Arial" w:hAnsi="Arial"/>
          <w:color w:val="5A6A85"/>
          <w:sz w:val="20"/>
          <w:szCs w:val="20"/>
        </w:rPr>
        <w:t xml:space="preserve">Branch Manager &amp; MLO · PRMG Branch 541-A</w:t>
      </w:r>
    </w:p>
    <w:p>
      <w:pPr>
        <w:spacing w:after="80" w:before="0"/>
      </w:pPr>
      <w:r>
        <w:rPr>
          <w:rFonts w:ascii="Arial" w:cs="Arial" w:eastAsia="Arial" w:hAnsi="Arial"/>
          <w:color w:val="5A6A85"/>
          <w:sz w:val="20"/>
          <w:szCs w:val="20"/>
        </w:rPr>
        <w:t xml:space="preserve">Las Vegas, NV ·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878" w:sz="4"/>
              <w:left w:val="single" w:color="0F6878" w:sz="12"/>
              <w:bottom w:val="none" w:color="FFFFFF" w:sz="0"/>
              <w:right w:val="none" w:color="FFFFFF" w:sz="0"/>
            </w:tcBorders>
            <w:shd w:fill="D0F4F8" w:val="clear"/>
            <w:tcMar>
              <w:top w:type="dxa" w:w="100"/>
              <w:left w:type="dxa" w:w="160"/>
              <w:bottom w:type="dxa" w:w="100"/>
              <w:right w:type="dxa" w:w="160"/>
            </w:tcMar>
          </w:tcPr>
          <w:p>
            <w:r>
              <w:rPr>
                <w:rFonts w:ascii="Arial" w:cs="Arial" w:eastAsia="Arial" w:hAnsi="Arial"/>
                <w:color w:val="0F6878"/>
                <w:sz w:val="18"/>
                <w:szCs w:val="18"/>
              </w:rPr>
              <w:t xml:space="preserve">Every DPA loan closed today is a pre-qualified refi lead the moment rates drop. At 10 closings/month over 24 months = 240 past clients. At 35% conversion when rates drop 75 bps = 84 FHA Streamlines. At $4,200 gross comp each = $352,800 from one rate drop event on clients you already own.</w:t>
            </w:r>
          </w:p>
        </w:tc>
      </w:tr>
    </w:tbl>
    <w:p>
      <w:pPr>
        <w:spacing w:after="80" w:before="80"/>
      </w:pPr>
      <w:r>
        <w:t xml:space="preserve"/>
      </w:r>
    </w:p>
    <w:p>
      <w:pPr>
        <w:pStyle w:val="Heading2"/>
        <w:spacing w:after="100" w:before="240"/>
      </w:pPr>
      <w:r>
        <w:rPr>
          <w:rFonts w:ascii="Arial" w:cs="Arial" w:eastAsia="Arial" w:hAnsi="Arial"/>
          <w:b/>
          <w:bCs/>
          <w:color w:val="0F6878"/>
          <w:sz w:val="28"/>
          <w:szCs w:val="28"/>
        </w:rPr>
        <w:t xml:space="preserve">Rate Drop Trigger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Rate Drop</w:t>
            </w:r>
          </w:p>
        </w:tc>
        <w:tc>
          <w:tcPr>
            <w:tcW w:type="dxa" w:w="408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Programs That Fire</w:t>
            </w:r>
          </w:p>
        </w:tc>
        <w:tc>
          <w:tcPr>
            <w:tcW w:type="dxa" w:w="288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–0.50% (50 bps)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RefiNow + Refi Possible · VA IRRRL borderline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Call over-income DPA clients first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–0.75% (75 bps)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FHA Streamline mass trigger · VA IRRRL all vets · RefiNow full pipeline</w:t>
            </w:r>
          </w:p>
        </w:tc>
        <w:tc>
          <w:tcPr>
            <w:tcW w:type="dxa" w:w="28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Primary refi wave — call all NHF + HIP post-yr3 clients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–1.00% (100 bps)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All 5 programs firing · USDA Streamlined Assist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Full portfolio outreach — prioritize by program</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–1.50% (150 bps)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Refi boom — every loan from past 3 years eligible</w:t>
            </w:r>
          </w:p>
        </w:tc>
        <w:tc>
          <w:tcPr>
            <w:tcW w:type="dxa" w:w="28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Capacity becomes the limit — hire temp processor</w:t>
            </w:r>
          </w:p>
        </w:tc>
      </w:tr>
    </w:tbl>
    <w:p>
      <w:pPr>
        <w:spacing w:after="80" w:before="160"/>
      </w:pPr>
      <w:r>
        <w:t xml:space="preserve"/>
      </w:r>
    </w:p>
    <w:p>
      <w:pPr>
        <w:pStyle w:val="Heading2"/>
        <w:spacing w:after="100" w:before="240"/>
      </w:pPr>
      <w:r>
        <w:rPr>
          <w:rFonts w:ascii="Arial" w:cs="Arial" w:eastAsia="Arial" w:hAnsi="Arial"/>
          <w:b/>
          <w:bCs/>
          <w:color w:val="0F6878"/>
          <w:sz w:val="28"/>
          <w:szCs w:val="28"/>
        </w:rPr>
        <w:t xml:space="preserve">PRMG Refi Programs — Full Detail</w:t>
      </w:r>
    </w:p>
    <w:p>
      <w:pPr>
        <w:spacing w:after="80" w:before="200"/>
      </w:pPr>
      <w:r>
        <w:rPr>
          <w:rFonts w:ascii="Arial" w:cs="Arial" w:eastAsia="Arial" w:hAnsi="Arial"/>
          <w:b/>
          <w:bCs/>
          <w:color w:val="0F6878"/>
          <w:sz w:val="22"/>
          <w:szCs w:val="22"/>
        </w:rPr>
        <w:t xml:space="preserve">FHA Streamline Standard and High Balance  ★  YOUR #1 REFI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878" w:sz="4"/>
              <w:left w:val="single" w:color="0F6878" w:sz="12"/>
              <w:bottom w:val="none" w:color="FFFFFF" w:sz="0"/>
              <w:right w:val="none" w:color="FFFFFF" w:sz="0"/>
            </w:tcBorders>
            <w:shd w:fill="D0F4F8" w:val="clear"/>
            <w:tcMar>
              <w:top w:type="dxa" w:w="100"/>
              <w:left w:type="dxa" w:w="160"/>
              <w:bottom w:type="dxa" w:w="100"/>
              <w:right w:type="dxa" w:w="160"/>
            </w:tcMar>
          </w:tcPr>
          <w:p>
            <w:r>
              <w:rPr>
                <w:rFonts w:ascii="Arial" w:cs="Arial" w:eastAsia="Arial" w:hAnsi="Arial"/>
                <w:color w:val="0F6878"/>
                <w:sz w:val="18"/>
                <w:szCs w:val="18"/>
              </w:rPr>
              <w:t xml:space="preserve">Most of your DPA portfolio sits on FHA loans. FHA Streamline fires immediately when rates drop — no appraisal, no income re-verification, minimal friction. These closings run 21–30 days. This is your highest-volume refi product when the market cooperates.</w:t>
            </w:r>
          </w:p>
        </w:tc>
      </w:tr>
    </w:tbl>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Appraisal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NO — waived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Income verification</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Minimal — no full doc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Credit score minimum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No minimum in most cases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Rate requirement</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Must lower rate OR reduce term — net tangible benefit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Equity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No — even underwater loans may be eligible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Close timeline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21–30 days — significantly faster than DPA purchase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Who this fires for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Every FHA+DPA borrower you have ever closed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Comp</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150 bps on first lien — same as purchase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High balance 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Available for loan amounts above standard FHA limits</w:t>
            </w:r>
          </w:p>
        </w:tc>
      </w:tr>
    </w:tbl>
    <w:p>
      <w:pPr>
        <w:spacing w:after="80" w:before="120"/>
      </w:pPr>
      <w:r>
        <w:t xml:space="preserve"/>
      </w:r>
    </w:p>
    <w:p>
      <w:pPr>
        <w:spacing w:after="80" w:before="200"/>
      </w:pPr>
      <w:r>
        <w:rPr>
          <w:rFonts w:ascii="Arial" w:cs="Arial" w:eastAsia="Arial" w:hAnsi="Arial"/>
          <w:b/>
          <w:bCs/>
          <w:color w:val="0F6878"/>
          <w:sz w:val="22"/>
          <w:szCs w:val="22"/>
        </w:rPr>
        <w:t xml:space="preserve">VA IRRRL — Standard and High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Full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Interest Rate Reduction Refinance Loan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Appraisal required</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NO — waived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Income verification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None required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Certificate of Eligibility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Not required again — already on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Rate requirement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Must lower rate (fixed to fixed)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VA funding fee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0.5% — waived for disabled veterans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Who this fires for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VA+DPA borrowers — TSAHC VA, NHF VA, FL Housing VA, TVLB</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Close timeline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21–30 days — easiest refi in the industry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High balance 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Available — same streamlined process</w:t>
            </w:r>
          </w:p>
        </w:tc>
      </w:tr>
    </w:tbl>
    <w:p>
      <w:pPr>
        <w:spacing w:after="80" w:before="120"/>
      </w:pPr>
      <w:r>
        <w:t xml:space="preserve"/>
      </w:r>
    </w:p>
    <w:p>
      <w:pPr>
        <w:spacing w:after="80" w:before="200"/>
      </w:pPr>
      <w:r>
        <w:rPr>
          <w:rFonts w:ascii="Arial" w:cs="Arial" w:eastAsia="Arial" w:hAnsi="Arial"/>
          <w:b/>
          <w:bCs/>
          <w:color w:val="0F6878"/>
          <w:sz w:val="22"/>
          <w:szCs w:val="22"/>
        </w:rPr>
        <w:t xml:space="preserve">Fannie Mae RefiNow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878" w:sz="4"/>
              <w:left w:val="single" w:color="0F6878" w:sz="12"/>
              <w:bottom w:val="none" w:color="FFFFFF" w:sz="0"/>
              <w:right w:val="none" w:color="FFFFFF" w:sz="0"/>
            </w:tcBorders>
            <w:shd w:fill="D0F4F8" w:val="clear"/>
            <w:tcMar>
              <w:top w:type="dxa" w:w="100"/>
              <w:left w:type="dxa" w:w="160"/>
              <w:bottom w:type="dxa" w:w="100"/>
              <w:right w:type="dxa" w:w="160"/>
            </w:tcMar>
          </w:tcPr>
          <w:p>
            <w:r>
              <w:rPr>
                <w:rFonts w:ascii="Arial" w:cs="Arial" w:eastAsia="Arial" w:hAnsi="Arial"/>
                <w:color w:val="0F6878"/>
                <w:sz w:val="18"/>
                <w:szCs w:val="18"/>
              </w:rPr>
              <w:t xml:space="preserve">RefiNow was designed for the exact income profile your DPA programs serve. 80% AMI income limit = your entire conventional DPA book. When rates drop 50+ bps these borrowers are instantly eligible and you already have the relationship.</w:t>
            </w:r>
          </w:p>
        </w:tc>
      </w:tr>
    </w:tbl>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Income limit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At or below 80% AMI</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Rate reduction required</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Minimum 50 bps drop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Payment reduction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Must reduce monthly payment by $50+</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Appraisal</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Waiver available — no appraisal in many cases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DTI limit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65%</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Min credit score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620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Who this fires for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Conventional+DPA borrowers — NHF Conventional, HIP Conventional, FL Housing Conv</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Loan must be owned by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Fannie Mae — check ownership before quoting</w:t>
            </w:r>
          </w:p>
        </w:tc>
      </w:tr>
    </w:tbl>
    <w:p>
      <w:pPr>
        <w:spacing w:after="80" w:before="120"/>
      </w:pPr>
      <w:r>
        <w:t xml:space="preserve"/>
      </w:r>
    </w:p>
    <w:p>
      <w:pPr>
        <w:spacing w:after="80" w:before="200"/>
      </w:pPr>
      <w:r>
        <w:rPr>
          <w:rFonts w:ascii="Arial" w:cs="Arial" w:eastAsia="Arial" w:hAnsi="Arial"/>
          <w:b/>
          <w:bCs/>
          <w:color w:val="0F6878"/>
          <w:sz w:val="22"/>
          <w:szCs w:val="22"/>
        </w:rPr>
        <w:t xml:space="preserve">Freddie Mac Refi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Income limit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At or below 80% AMI — same as RefiNow</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Rate reduction required</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Minimum 50 bps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Appraisal waiver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Available via Freddie ACE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MI reduction</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If original loan had MI — can reduce or eliminate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Who this fires for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Freddie-backed conventional DPA closings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Loan must be owned by</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Freddie Mac — run both Fannie/Freddie lookup for every Conv DPA borrower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Vs. RefiNow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Same concept — Fannie vs. Freddie ownership determines which applies</w:t>
            </w:r>
          </w:p>
        </w:tc>
      </w:tr>
    </w:tbl>
    <w:p>
      <w:pPr>
        <w:spacing w:after="80" w:before="120"/>
      </w:pPr>
      <w:r>
        <w:t xml:space="preserve"/>
      </w:r>
    </w:p>
    <w:p>
      <w:pPr>
        <w:spacing w:after="80" w:before="200"/>
      </w:pPr>
      <w:r>
        <w:rPr>
          <w:rFonts w:ascii="Arial" w:cs="Arial" w:eastAsia="Arial" w:hAnsi="Arial"/>
          <w:b/>
          <w:bCs/>
          <w:color w:val="0F6878"/>
          <w:sz w:val="22"/>
          <w:szCs w:val="22"/>
        </w:rPr>
        <w:t xml:space="preserve">USDA Streamlined Assist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Appraisal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NO</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Credit review</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Minimal — 12-month payment history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Income verification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Streamlined — no full doc required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Rate reduction required</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A04800"/>
                <w:sz w:val="19"/>
                <w:szCs w:val="19"/>
              </w:rPr>
              <w:t xml:space="preserve">Must reduce rate by at least 1% — higher bar than FHA Streamline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Who this fires for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NV Rural Housing closings + any rural TX/AZ files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Volume expectation</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Lower than FHA Streamline — rural market only</w:t>
            </w:r>
          </w:p>
        </w:tc>
      </w:tr>
    </w:tbl>
    <w:p>
      <w:pPr>
        <w:spacing w:after="80" w:before="160"/>
      </w:pPr>
      <w:r>
        <w:t xml:space="preserve"/>
      </w:r>
    </w:p>
    <w:p>
      <w:pPr>
        <w:pStyle w:val="Heading2"/>
        <w:spacing w:after="100" w:before="240"/>
      </w:pPr>
      <w:r>
        <w:rPr>
          <w:rFonts w:ascii="Arial" w:cs="Arial" w:eastAsia="Arial" w:hAnsi="Arial"/>
          <w:b/>
          <w:bCs/>
          <w:color w:val="0F6878"/>
          <w:sz w:val="28"/>
          <w:szCs w:val="28"/>
        </w:rPr>
        <w:t xml:space="preserve">DPA Second Lien Treatment at Refi — Critical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1F40" w:sz="4"/>
              <w:left w:val="single" w:color="8A1F40" w:sz="12"/>
              <w:bottom w:val="none" w:color="FFFFFF" w:sz="0"/>
              <w:right w:val="none" w:color="FFFFFF" w:sz="0"/>
            </w:tcBorders>
            <w:shd w:fill="FFE0E8" w:val="clear"/>
            <w:tcMar>
              <w:top w:type="dxa" w:w="100"/>
              <w:left w:type="dxa" w:w="160"/>
              <w:bottom w:type="dxa" w:w="100"/>
              <w:right w:type="dxa" w:w="160"/>
            </w:tcMar>
          </w:tcPr>
          <w:p>
            <w:r>
              <w:rPr>
                <w:rFonts w:ascii="Arial" w:cs="Arial" w:eastAsia="Arial" w:hAnsi="Arial"/>
                <w:color w:val="8A1F40"/>
                <w:sz w:val="18"/>
                <w:szCs w:val="18"/>
              </w:rPr>
              <w:t xml:space="preserve">When you refinance a DPA borrower, the second lien does not disappear. It must be paid off, subordinated, or be already forgiven. Getting this wrong kills the refi at closing. Know these rules before quoting any DPA borrower a refi rate.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400"/>
        <w:gridCol w:w="1560"/>
        <w:gridCol w:w="1700"/>
      </w:tblGrid>
      <w:tr>
        <w:tc>
          <w:tcPr>
            <w:tcW w:type="dxa" w:w="180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DPA Program</w:t>
            </w:r>
          </w:p>
        </w:tc>
        <w:tc>
          <w:tcPr>
            <w:tcW w:type="dxa" w:w="190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Second Lien Type</w:t>
            </w:r>
          </w:p>
        </w:tc>
        <w:tc>
          <w:tcPr>
            <w:tcW w:type="dxa" w:w="240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Refi Treatment</w:t>
            </w:r>
          </w:p>
        </w:tc>
        <w:tc>
          <w:tcPr>
            <w:tcW w:type="dxa" w:w="156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Lead Time</w:t>
            </w:r>
          </w:p>
        </w:tc>
        <w:tc>
          <w:tcPr>
            <w:tcW w:type="dxa" w:w="170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Difficulty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NV HIP (post year 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Forgivable — forgiven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Second already forgiven — clean refi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None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EASY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NV HIP (under 3 years)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Forgivable — not yet forgiven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Must subordinate or repay second</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2 weeks for sub agreement</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Manageable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NHF National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Grant — no second lien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No second exists — completely clean refi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None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ZERO FRICTION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Chenoa Fund</w:t>
            </w:r>
          </w:p>
        </w:tc>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Repayable 10yr 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CBC subordination — generally cooperative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Add 1–2 weeks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Manageable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FL Housing FL Assist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8A1F40"/>
                <w:sz w:val="19"/>
                <w:szCs w:val="19"/>
              </w:rPr>
              <w:t xml:space="preserve">Deferred — due at refi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8A1F40"/>
                <w:sz w:val="19"/>
                <w:szCs w:val="19"/>
              </w:rPr>
              <w:t xml:space="preserve">Technically due at refi — verify equity position FIRST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Equity check required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8A1F40"/>
                <w:sz w:val="19"/>
                <w:szCs w:val="19"/>
              </w:rPr>
              <w:t xml:space="preserve">VERIFY FIRST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FL Hometown Heroes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8A1F40"/>
                <w:sz w:val="19"/>
                <w:szCs w:val="19"/>
              </w:rPr>
              <w:t xml:space="preserve">Deferred — due at refi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8A1F40"/>
                <w:sz w:val="19"/>
                <w:szCs w:val="19"/>
              </w:rPr>
              <w:t xml:space="preserve">$10K–$35K due at refi — must have equity to absorb</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Equity model first</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8A1F40"/>
                <w:sz w:val="19"/>
                <w:szCs w:val="19"/>
              </w:rPr>
              <w:t xml:space="preserve">VERIFY 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TSAHC TX (grant version)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Grant — no second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No second — clean refi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None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6B3A"/>
                <w:sz w:val="19"/>
                <w:szCs w:val="19"/>
              </w:rPr>
              <w:t xml:space="preserve">EASY if grant used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TSAHC TX (deferred)</w:t>
            </w:r>
          </w:p>
        </w:tc>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Deferred second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Subordination through TSAHC servicer</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Add 2 weeks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Manageable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TDHCA TX</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Deferred second lien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Must be subordinated or paid off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3–4 weeks TDHCA sub process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Manageable — plan ahead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AZ Home in Five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Grant — no second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No second — completely clean refi</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None</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ZERO FRICTION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CO CHFA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Deferred second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CHFA subordination request required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2–3 weeks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Manageable</w:t>
            </w:r>
          </w:p>
        </w:tc>
      </w:tr>
    </w:tbl>
    <w:p>
      <w:pPr>
        <w:spacing w:after="80" w:before="160"/>
      </w:pPr>
      <w:r>
        <w:t xml:space="preserve"/>
      </w:r>
    </w:p>
    <w:p>
      <w:pPr>
        <w:pStyle w:val="Heading2"/>
        <w:spacing w:after="100" w:before="240"/>
      </w:pPr>
      <w:r>
        <w:rPr>
          <w:rFonts w:ascii="Arial" w:cs="Arial" w:eastAsia="Arial" w:hAnsi="Arial"/>
          <w:b/>
          <w:bCs/>
          <w:color w:val="0F6878"/>
          <w:sz w:val="28"/>
          <w:szCs w:val="28"/>
        </w:rPr>
        <w:t xml:space="preserve">Refi Portfolio Math — What One Rate Drop Is Worth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c>
          <w:tcPr>
            <w:tcW w:type="dxa" w:w="300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Scenario</w:t>
            </w:r>
          </w:p>
        </w:tc>
        <w:tc>
          <w:tcPr>
            <w:tcW w:type="dxa" w:w="288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Inputs</w:t>
            </w:r>
          </w:p>
        </w:tc>
        <w:tc>
          <w:tcPr>
            <w:tcW w:type="dxa" w:w="3480"/>
            <w:tcBorders>
              <w:top w:val="single" w:color="CCCCCC" w:sz="1"/>
              <w:left w:val="single" w:color="CCCCCC" w:sz="1"/>
              <w:bottom w:val="single" w:color="CCCCCC" w:sz="1"/>
              <w:right w:val="single" w:color="CCCCCC" w:sz="1"/>
            </w:tcBorders>
            <w:shd w:fill="0F6878" w:val="clear"/>
            <w:tcMar>
              <w:top w:type="dxa" w:w="80"/>
              <w:left w:type="dxa" w:w="140"/>
              <w:bottom w:type="dxa" w:w="80"/>
              <w:right w:type="dxa" w:w="140"/>
            </w:tcMar>
          </w:tcPr>
          <w:p>
            <w:r>
              <w:rPr>
                <w:rFonts w:ascii="Arial" w:cs="Arial" w:eastAsia="Arial" w:hAnsi="Arial"/>
                <w:b/>
                <w:bCs/>
                <w:color w:val="FFFFFF"/>
                <w:sz w:val="18"/>
                <w:szCs w:val="18"/>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24-month portfolio (10 closings/mo)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240 past clients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Your refi database at 2 years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FHA loans in portfolio (~70%)</w:t>
            </w:r>
          </w:p>
        </w:tc>
        <w:tc>
          <w:tcPr>
            <w:tcW w:type="dxa" w:w="28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168 FHA files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Primary refi candidates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Conversion at 75 bps drop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35% = 84 refis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Realistic conversion rate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Average refi loan amount</w:t>
            </w:r>
          </w:p>
        </w:tc>
        <w:tc>
          <w:tcPr>
            <w:tcW w:type="dxa" w:w="28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$280,000</w:t>
            </w:r>
          </w:p>
        </w:tc>
        <w:tc>
          <w:tcPr>
            <w:tcW w:type="dxa" w:w="3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Conservative estimate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Gross comp at 150 bps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$4,200 per refi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Same as purchase comp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F6878"/>
                <w:sz w:val="19"/>
                <w:szCs w:val="19"/>
              </w:rPr>
              <w:t xml:space="preserve">TOTAL — one rate drop event</w:t>
            </w:r>
          </w:p>
        </w:tc>
        <w:tc>
          <w:tcPr>
            <w:tcW w:type="dxa" w:w="28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F6878"/>
                <w:sz w:val="19"/>
                <w:szCs w:val="19"/>
              </w:rPr>
              <w:t xml:space="preserve">84 × $4,200</w:t>
            </w:r>
          </w:p>
        </w:tc>
        <w:tc>
          <w:tcPr>
            <w:tcW w:type="dxa" w:w="3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$352,800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Timeline to execute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FHA Streamlines close in 21–30 days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A1628"/>
                <w:sz w:val="19"/>
                <w:szCs w:val="19"/>
              </w:rPr>
              <w:t xml:space="preserve">~60–90 days for full wave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Lead acquisition cost</w:t>
            </w:r>
          </w:p>
        </w:tc>
        <w:tc>
          <w:tcPr>
            <w:tcW w:type="dxa" w:w="28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0E6B3A"/>
                <w:sz w:val="19"/>
                <w:szCs w:val="19"/>
              </w:rPr>
              <w:t xml:space="preserve">ZERO — these are your existing clients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0A1628"/>
                <w:sz w:val="19"/>
                <w:szCs w:val="19"/>
              </w:rPr>
              <w:t xml:space="preserve">Pure margin revenue</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878" w:sz="4"/>
              <w:left w:val="single" w:color="0F6878" w:sz="12"/>
              <w:bottom w:val="none" w:color="FFFFFF" w:sz="0"/>
              <w:right w:val="none" w:color="FFFFFF" w:sz="0"/>
            </w:tcBorders>
            <w:shd w:fill="D0F4F8" w:val="clear"/>
            <w:tcMar>
              <w:top w:type="dxa" w:w="100"/>
              <w:left w:type="dxa" w:w="160"/>
              <w:bottom w:type="dxa" w:w="100"/>
              <w:right w:type="dxa" w:w="160"/>
            </w:tcMar>
          </w:tcPr>
          <w:p>
            <w:r>
              <w:rPr>
                <w:rFonts w:ascii="Arial" w:cs="Arial" w:eastAsia="Arial" w:hAnsi="Arial"/>
                <w:color w:val="0F6878"/>
                <w:sz w:val="18"/>
                <w:szCs w:val="18"/>
              </w:rPr>
              <w:t xml:space="preserve">ACTION ITEM: Every closed DPA borrower must be loaded into Total Expert at closing with their DPA program tagged. Sales Boomerang Rate Watch monitors the database daily and fires an alert when a client becomes refi-eligible. Without this tagging, the automation cannot fire. This one operational habit is worth $350,000+ when rates cooperate.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F6878"/>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F687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2026-04-06T08:03:23.571Z</dcterms:created>
  <dcterms:modified xsi:type="dcterms:W3CDTF">2026-04-06T08:03:23.571Z</dcterms:modified>
</cp:coreProperties>
</file>

<file path=docProps/custom.xml><?xml version="1.0" encoding="utf-8"?>
<Properties xmlns="http://schemas.openxmlformats.org/officeDocument/2006/custom-properties" xmlns:vt="http://schemas.openxmlformats.org/officeDocument/2006/docPropsVTypes"/>
</file>