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color w:val="000000"/>
          <w:sz w:val="72"/>
          <w:szCs w:val="72"/>
        </w:rPr>
      </w:pPr>
      <w:r>
        <w:rPr>
          <w:rFonts w:cs="Times New Roman" w:ascii="Times New Roman" w:hAnsi="Times New Roman"/>
          <w:color w:val="000000"/>
          <w:sz w:val="72"/>
          <w:szCs w:val="72"/>
        </w:rPr>
      </w:r>
    </w:p>
    <w:p>
      <w:pPr>
        <w:pStyle w:val="Normal"/>
        <w:rPr>
          <w:rFonts w:cs="Times New Roman" w:ascii="Times New Roman" w:hAnsi="Times New Roman"/>
          <w:color w:val="000000"/>
          <w:sz w:val="72"/>
          <w:szCs w:val="72"/>
        </w:rPr>
      </w:pPr>
      <w:r>
        <w:rPr>
          <w:rFonts w:cs="Times New Roman" w:ascii="Times New Roman" w:hAnsi="Times New Roman"/>
          <w:color w:val="000000"/>
          <w:sz w:val="72"/>
          <w:szCs w:val="72"/>
        </w:rPr>
      </w:r>
    </w:p>
    <w:p>
      <w:pPr>
        <w:pStyle w:val="Normal"/>
        <w:rPr>
          <w:rFonts w:cs="Times New Roman" w:ascii="Times New Roman" w:hAnsi="Times New Roman"/>
          <w:color w:val="000000"/>
          <w:sz w:val="72"/>
          <w:szCs w:val="72"/>
        </w:rPr>
      </w:pPr>
      <w:r>
        <w:rPr>
          <w:rFonts w:cs="Times New Roman" w:ascii="Times New Roman" w:hAnsi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 w:ascii="Times New Roman" w:hAnsi="Times New Roman"/>
          <w:color w:val="000000"/>
          <w:sz w:val="72"/>
          <w:szCs w:val="72"/>
        </w:rPr>
      </w:pPr>
      <w:r>
        <w:rPr>
          <w:rFonts w:cs="Times New Roman" w:ascii="Times New Roman" w:hAnsi="Times New Roman"/>
          <w:color w:val="000000"/>
          <w:sz w:val="72"/>
          <w:szCs w:val="72"/>
        </w:rPr>
      </w:r>
    </w:p>
    <w:p>
      <w:pPr>
        <w:pStyle w:val="Normal"/>
        <w:jc w:val="right"/>
        <w:rPr>
          <w:rFonts w:cs="Times New Roman" w:ascii="Times New Roman" w:hAnsi="Times New Roman"/>
          <w:color w:val="000000"/>
          <w:sz w:val="56"/>
          <w:szCs w:val="56"/>
        </w:rPr>
      </w:pPr>
      <w:r>
        <w:rPr>
          <w:rFonts w:cs="Times New Roman" w:ascii="Times New Roman" w:hAnsi="Times New Roman"/>
          <w:color w:val="000000"/>
          <w:sz w:val="56"/>
          <w:szCs w:val="56"/>
        </w:rPr>
        <w:t>Sistema de Eficiência Energética</w:t>
      </w:r>
    </w:p>
    <w:p>
      <w:pPr>
        <w:pStyle w:val="Normal"/>
        <w:jc w:val="right"/>
        <w:rPr>
          <w:rFonts w:cs="Times New Roman" w:ascii="Times New Roman" w:hAnsi="Times New Roman"/>
          <w:color w:val="000000"/>
          <w:sz w:val="52"/>
          <w:szCs w:val="52"/>
        </w:rPr>
      </w:pPr>
      <w:r>
        <w:rPr>
          <w:rFonts w:cs="Times New Roman" w:ascii="Times New Roman" w:hAnsi="Times New Roman"/>
          <w:color w:val="000000"/>
          <w:sz w:val="52"/>
          <w:szCs w:val="52"/>
        </w:rPr>
        <w:t>Documento de Especificação de Requisitos</w:t>
      </w:r>
    </w:p>
    <w:p>
      <w:pPr>
        <w:pStyle w:val="Normal"/>
        <w:jc w:val="right"/>
        <w:rPr>
          <w:rFonts w:cs="Times New Roman" w:ascii="Times New Roman" w:hAnsi="Times New Roman"/>
          <w:color w:val="000000"/>
          <w:sz w:val="36"/>
          <w:szCs w:val="36"/>
        </w:rPr>
      </w:pPr>
      <w:r>
        <w:rPr>
          <w:rFonts w:cs="Times New Roman" w:ascii="Times New Roman" w:hAnsi="Times New Roman"/>
          <w:color w:val="000000"/>
          <w:sz w:val="36"/>
          <w:szCs w:val="36"/>
        </w:rPr>
        <w:t xml:space="preserve">Requisito: RF07 – </w:t>
      </w:r>
      <w:bookmarkStart w:id="0" w:name="__DdeLink__2082_1436736596"/>
      <w:r>
        <w:rPr>
          <w:rFonts w:cs="Times New Roman" w:ascii="Times New Roman" w:hAnsi="Times New Roman"/>
          <w:color w:val="000000"/>
          <w:sz w:val="36"/>
          <w:szCs w:val="36"/>
        </w:rPr>
        <w:t xml:space="preserve">Consultar detalhes da </w:t>
      </w:r>
      <w:bookmarkEnd w:id="0"/>
      <w:r>
        <w:rPr>
          <w:rFonts w:cs="Times New Roman" w:ascii="Times New Roman" w:hAnsi="Times New Roman"/>
          <w:color w:val="000000"/>
          <w:sz w:val="36"/>
          <w:szCs w:val="36"/>
        </w:rPr>
        <w:t>sala</w:t>
      </w:r>
    </w:p>
    <w:p>
      <w:pPr>
        <w:pStyle w:val="Normal"/>
        <w:jc w:val="right"/>
        <w:rPr>
          <w:rFonts w:cs="Times New Roman" w:ascii="Times New Roman" w:hAnsi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  <w:t>Versão: Inicial</w:t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jc w:val="center"/>
        <w:rPr>
          <w:rFonts w:cs="Times New Roman" w:ascii="Times New Roman" w:hAnsi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Histórico de Alterações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8"/>
        <w:gridCol w:w="1416"/>
        <w:gridCol w:w="3822"/>
        <w:gridCol w:w="2164"/>
      </w:tblGrid>
      <w:tr>
        <w:trPr>
          <w:cantSplit w:val="false"/>
        </w:trPr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Autor</w:t>
            </w:r>
          </w:p>
        </w:tc>
      </w:tr>
      <w:tr>
        <w:trPr>
          <w:cantSplit w:val="false"/>
        </w:trPr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10/04/2015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 xml:space="preserve">Inclusão das referências de telas no </w:t>
            </w:r>
            <w:hyperlink w:anchor="_Fluxo_principal">
              <w:r>
                <w:rPr>
                  <w:rStyle w:val="Linkdainternetvisitado"/>
                  <w:rFonts w:cs="Times New Roman" w:ascii="Times New Roman" w:hAnsi="Times New Roman"/>
                  <w:sz w:val="24"/>
                </w:rPr>
                <w:t>fluxo principal</w:t>
              </w:r>
            </w:hyperlink>
            <w:r>
              <w:rPr>
                <w:rFonts w:cs="Times New Roman" w:ascii="Times New Roman" w:hAnsi="Times New Roman"/>
                <w:color w:val="000000"/>
                <w:sz w:val="24"/>
              </w:rPr>
              <w:t>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Lázaro</w:t>
            </w:r>
          </w:p>
        </w:tc>
      </w:tr>
      <w:tr>
        <w:trPr>
          <w:cantSplit w:val="false"/>
        </w:trPr>
        <w:tc>
          <w:tcPr>
            <w:tcW w:w="1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01/04/2015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000000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Lázaro</w:t>
            </w:r>
          </w:p>
        </w:tc>
      </w:tr>
    </w:tbl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t>Sumário</w:t>
      </w:r>
    </w:p>
    <w:p>
      <w:pPr>
        <w:pStyle w:val="Sumrio1"/>
        <w:tabs>
          <w:tab w:val="right" w:pos="9071" w:leader="dot"/>
        </w:tabs>
        <w:rPr>
          <w:rStyle w:val="Vnculodendice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932_1436736596">
        <w:r>
          <w:rPr>
            <w:rStyle w:val="Vnculodendice"/>
          </w:rPr>
          <w:t>1.Descrição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934_1436736596">
        <w:r>
          <w:rPr>
            <w:rStyle w:val="Vnculodendice"/>
          </w:rPr>
          <w:t>2.Pré-condições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936_1436736596">
        <w:r>
          <w:rPr>
            <w:rStyle w:val="Vnculodendice"/>
          </w:rPr>
          <w:t>3.Pós-condições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938_1436736596">
        <w:r>
          <w:rPr>
            <w:rStyle w:val="Vnculodendice"/>
          </w:rPr>
          <w:t>4.Ator primário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940_1436736596">
        <w:r>
          <w:rPr>
            <w:rStyle w:val="Vnculodendice"/>
          </w:rPr>
          <w:t>5.Gatilho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942_1436736596">
        <w:r>
          <w:rPr>
            <w:rStyle w:val="Vnculodendice"/>
          </w:rPr>
          <w:t>6.Fluxo principal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944_1436736596">
        <w:r>
          <w:rPr>
            <w:rStyle w:val="Vnculodendice"/>
          </w:rPr>
          <w:t>7.Fluxos alternativos</w:t>
          <w:tab/>
          <w:t>4</w:t>
        </w:r>
      </w:hyperlink>
    </w:p>
    <w:p>
      <w:pPr>
        <w:pStyle w:val="Sumrio1"/>
        <w:tabs>
          <w:tab w:val="right" w:pos="9071" w:leader="dot"/>
        </w:tabs>
        <w:rPr>
          <w:rStyle w:val="Vnculodendice"/>
        </w:rPr>
      </w:pPr>
      <w:hyperlink w:anchor="__RefHeading__946_1436736596">
        <w:r>
          <w:rPr>
            <w:rStyle w:val="Vnculodendice"/>
          </w:rPr>
          <w:t>8.Fluxos de exceção</w:t>
          <w:tab/>
          <w:t>4</w:t>
        </w:r>
      </w:hyperlink>
      <w:r>
        <w:fldChar w:fldCharType="end"/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243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Sumrio1"/>
        <w:tabs>
          <w:tab w:val="left" w:pos="709" w:leader="none"/>
          <w:tab w:val="right" w:pos="9061" w:leader="dot"/>
          <w:tab w:val="right" w:pos="9071" w:leader="dot"/>
        </w:tabs>
        <w:rPr/>
      </w:pPr>
      <w:hyperlink w:anchor="__RefHeading__946_1436736596">
        <w:r>
          <w:rPr/>
        </w:r>
      </w:hyperlink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1" w:name="_Toc415479271"/>
      <w:bookmarkStart w:id="2" w:name="__RefHeading__932_1436736596"/>
      <w:bookmarkEnd w:id="1"/>
      <w:bookmarkEnd w:id="2"/>
      <w:r>
        <w:rPr>
          <w:rFonts w:cs="Times New Roman"/>
        </w:rPr>
        <w:t>Descrição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Este documento descreve os passos do caso de uso Consultar detalhes da sala, especificando como será feita a consulta de uma sala de aula no sistema.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3" w:name="_Toc415479272"/>
      <w:bookmarkStart w:id="4" w:name="__RefHeading__934_1436736596"/>
      <w:bookmarkEnd w:id="3"/>
      <w:bookmarkEnd w:id="4"/>
      <w:r>
        <w:rPr>
          <w:rFonts w:cs="Times New Roman"/>
        </w:rPr>
        <w:t>Pré-condições</w:t>
      </w:r>
    </w:p>
    <w:p>
      <w:pPr>
        <w:pStyle w:val="Normal"/>
        <w:ind w:left="0" w:right="0" w:firstLine="708"/>
        <w:jc w:val="both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Não há pré-condições.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5" w:name="_Toc415479273"/>
      <w:bookmarkStart w:id="6" w:name="__RefHeading__936_1436736596"/>
      <w:bookmarkEnd w:id="5"/>
      <w:bookmarkEnd w:id="6"/>
      <w:r>
        <w:rPr>
          <w:rFonts w:cs="Times New Roman"/>
        </w:rPr>
        <w:t>Pós-condições</w:t>
      </w:r>
    </w:p>
    <w:p>
      <w:pPr>
        <w:pStyle w:val="Normal"/>
        <w:ind w:left="0" w:right="0" w:firstLine="708"/>
        <w:jc w:val="both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Após o final normal deste caso de uso, o sistema deve possibilitar a visualização dos dados de uma sala de aula pelo usuário.</w:t>
      </w:r>
    </w:p>
    <w:p>
      <w:pPr>
        <w:pStyle w:val="Ttulo1"/>
        <w:numPr>
          <w:ilvl w:val="0"/>
          <w:numId w:val="1"/>
        </w:numPr>
        <w:shd w:fill="D9D9D9" w:val="clear"/>
        <w:rPr>
          <w:rFonts w:eastAsia="Times New Roman" w:cs="Times New Roman"/>
        </w:rPr>
      </w:pPr>
      <w:bookmarkStart w:id="7" w:name="_Toc415479274"/>
      <w:bookmarkStart w:id="8" w:name="__RefHeading__938_1436736596"/>
      <w:bookmarkEnd w:id="7"/>
      <w:bookmarkEnd w:id="8"/>
      <w:r>
        <w:rPr>
          <w:rFonts w:eastAsia="Times New Roman" w:cs="Times New Roman"/>
        </w:rPr>
        <w:t>Ator primário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Administrador;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Gerente de salas;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Usuário.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9" w:name="_Toc415479275"/>
      <w:bookmarkStart w:id="10" w:name="__RefHeading__940_1436736596"/>
      <w:bookmarkEnd w:id="9"/>
      <w:bookmarkEnd w:id="10"/>
      <w:r>
        <w:rPr>
          <w:rFonts w:cs="Times New Roman"/>
        </w:rPr>
        <w:t>Gatilho</w:t>
      </w:r>
    </w:p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Este caso de uso começa quando o administrador do sistema, o gerente de salas do sistema ou o usuário clicar na opção “Detalhes” disponível em sua página ou no ícone da sala na página inicial do sistema.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  <w:shd w:fill="CCCCCC" w:val="clear"/>
        </w:rPr>
      </w:pPr>
      <w:bookmarkStart w:id="11" w:name="_Toc415479276"/>
      <w:bookmarkStart w:id="12" w:name="_Fluxo_principal"/>
      <w:bookmarkStart w:id="13" w:name="_GoBack"/>
      <w:bookmarkStart w:id="14" w:name="__RefHeading__942_1436736596"/>
      <w:bookmarkEnd w:id="11"/>
      <w:bookmarkEnd w:id="12"/>
      <w:bookmarkEnd w:id="13"/>
      <w:bookmarkEnd w:id="14"/>
      <w:r>
        <w:rPr>
          <w:rFonts w:cs="Times New Roman"/>
          <w:shd w:fill="CCCCCC" w:val="clear"/>
        </w:rPr>
        <w:t>Fluxo principal</w:t>
      </w:r>
    </w:p>
    <w:p>
      <w:pPr>
        <w:pStyle w:val="Normal"/>
        <w:rPr/>
      </w:pPr>
      <w:r>
        <w:rPr/>
        <w:drawing>
          <wp:inline distT="0" distB="0" distL="0" distR="0">
            <wp:extent cx="5760085" cy="53371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8"/>
        <w:gridCol w:w="2442"/>
        <w:gridCol w:w="2375"/>
        <w:gridCol w:w="2193"/>
        <w:gridCol w:w="1469"/>
      </w:tblGrid>
      <w:tr>
        <w:trPr>
          <w:cantSplit w:val="false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Ator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Descrição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Caminho alternativo</w:t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Referência</w:t>
            </w:r>
          </w:p>
        </w:tc>
      </w:tr>
      <w:tr>
        <w:trPr>
          <w:cantSplit w:val="false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Administrador/Gerente de salas/Usuário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Clica na opção “Detalhes” ou no ícone da sala na página inicial do sistema.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TL02, TL06, TL01</w:t>
            </w:r>
          </w:p>
        </w:tc>
      </w:tr>
      <w:tr>
        <w:trPr>
          <w:cantSplit w:val="false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2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Sistema</w:t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Exibe a tela de detalhes da sala.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TL09</w:t>
            </w:r>
          </w:p>
        </w:tc>
      </w:tr>
      <w:tr>
        <w:trPr>
          <w:cantSplit w:val="false"/>
        </w:trPr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right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2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Fim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4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ind w:left="0" w:right="0" w:firstLine="708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15" w:name="_Toc415479277"/>
      <w:bookmarkStart w:id="16" w:name="__RefHeading__944_1436736596"/>
      <w:bookmarkEnd w:id="15"/>
      <w:bookmarkEnd w:id="16"/>
      <w:r>
        <w:rPr>
          <w:rFonts w:cs="Times New Roman"/>
        </w:rPr>
        <w:t>Fluxos alternativos</w:t>
      </w:r>
    </w:p>
    <w:p>
      <w:pPr>
        <w:pStyle w:val="Normal"/>
        <w:ind w:left="0" w:right="0" w:firstLine="708"/>
        <w:rPr>
          <w:rFonts w:cs="Times New Roman" w:ascii="Times New Roman" w:hAnsi="Times New Roman"/>
          <w:sz w:val="24"/>
          <w:szCs w:val="24"/>
        </w:rPr>
      </w:pPr>
      <w:bookmarkStart w:id="17" w:name="_FA01_–_Dados"/>
      <w:bookmarkEnd w:id="17"/>
      <w:r>
        <w:rPr>
          <w:rFonts w:cs="Times New Roman" w:ascii="Times New Roman" w:hAnsi="Times New Roman"/>
          <w:sz w:val="24"/>
          <w:szCs w:val="24"/>
        </w:rPr>
        <w:t>Não há fluxos alternativos</w:t>
      </w:r>
    </w:p>
    <w:p>
      <w:pPr>
        <w:pStyle w:val="Ttulo1"/>
        <w:numPr>
          <w:ilvl w:val="0"/>
          <w:numId w:val="1"/>
        </w:numPr>
        <w:shd w:fill="D9D9D9" w:val="clear"/>
        <w:rPr>
          <w:rFonts w:cs="Times New Roman"/>
        </w:rPr>
      </w:pPr>
      <w:bookmarkStart w:id="18" w:name="_Toc415479278"/>
      <w:bookmarkStart w:id="19" w:name="__RefHeading__946_1436736596"/>
      <w:bookmarkEnd w:id="18"/>
      <w:bookmarkEnd w:id="19"/>
      <w:r>
        <w:rPr>
          <w:rFonts w:cs="Times New Roman"/>
        </w:rPr>
        <w:t>Fluxos de exceção</w:t>
      </w:r>
    </w:p>
    <w:p>
      <w:pPr>
        <w:pStyle w:val="Normal"/>
        <w:spacing w:before="0" w:after="200"/>
        <w:ind w:left="0" w:right="0" w:firstLine="708"/>
        <w:rPr>
          <w:rFonts w:cs="Times New Roman" w:ascii="Times New Roman" w:hAnsi="Times New Roman"/>
          <w:sz w:val="24"/>
          <w:szCs w:val="24"/>
        </w:rPr>
      </w:pPr>
      <w:bookmarkStart w:id="20" w:name="_FE01_–_Login"/>
      <w:bookmarkEnd w:id="20"/>
      <w:r>
        <w:rPr>
          <w:rFonts w:cs="Times New Roman" w:ascii="Times New Roman" w:hAnsi="Times New Roman"/>
          <w:sz w:val="24"/>
          <w:szCs w:val="24"/>
        </w:rPr>
        <w:t>Não há fluxos de exceção</w:t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701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cs="" w:ascii="Cambria" w:hAnsi="Cambria"/>
      </w:rPr>
    </w:pPr>
    <w:r>
      <w:rPr>
        <w:rFonts w:cs="" w:ascii="Cambria" w:hAnsi="Cambria"/>
      </w:rPr>
      <w:t>Sistema de Eficiência Energética</w:t>
      <w:tab/>
    </w:r>
    <w:r>
      <w:rPr>
        <w:rFonts w:cs="" w:ascii="Cambria" w:hAnsi="Cambria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cs="" w:ascii="Cambria" w:hAnsi="Cambria"/>
        <w:sz w:val="32"/>
        <w:szCs w:val="32"/>
      </w:rPr>
    </w:pPr>
    <w:r>
      <w:rPr>
        <w:rFonts w:cs="" w:ascii="Cambria" w:hAnsi="Cambria"/>
        <w:sz w:val="32"/>
        <w:szCs w:val="32"/>
      </w:rPr>
      <w:t>Documento de Especificação de Requisitos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782126"/>
    <w:basedOn w:val="Normal"/>
    <w:next w:val="Normal"/>
    <w:pPr>
      <w:keepNext/>
      <w:keepLines/>
      <w:spacing w:before="240" w:after="240"/>
      <w:outlineLvl w:val="0"/>
    </w:pPr>
    <w:rPr>
      <w:rFonts w:ascii="Times New Roman" w:hAnsi="Times New Roman" w:cs=""/>
      <w:b/>
      <w:bCs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851dde"/>
    <w:basedOn w:val="Normal"/>
    <w:next w:val="Normal"/>
    <w:pPr>
      <w:keepNext/>
      <w:keepLines/>
      <w:spacing w:before="320" w:after="120"/>
      <w:outlineLvl w:val="1"/>
    </w:pPr>
    <w:rPr>
      <w:rFonts w:ascii="Times New Roman" w:hAnsi="Times New Roman" w:cs="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5e0323"/>
    <w:basedOn w:val="DefaultParagraphFont"/>
    <w:rPr>
      <w:rFonts w:ascii="Tahoma" w:hAnsi="Tahoma" w:cs="Tahoma"/>
      <w:sz w:val="16"/>
      <w:szCs w:val="16"/>
    </w:rPr>
  </w:style>
  <w:style w:type="character" w:styleId="TtuloChar" w:customStyle="1">
    <w:name w:val="Título Char"/>
    <w:uiPriority w:val="10"/>
    <w:link w:val="Ttulo"/>
    <w:rsid w:val="0049326d"/>
    <w:basedOn w:val="DefaultParagraphFont"/>
    <w:rPr>
      <w:rFonts w:ascii="Cambria" w:hAnsi="Cambria" w:cs=""/>
      <w:color w:val="000000"/>
      <w:spacing w:val="5"/>
      <w:sz w:val="52"/>
      <w:szCs w:val="52"/>
    </w:rPr>
  </w:style>
  <w:style w:type="character" w:styleId="CabealhoChar" w:customStyle="1">
    <w:name w:val="Cabeçalho Char"/>
    <w:uiPriority w:val="99"/>
    <w:link w:val="Cabealho"/>
    <w:rsid w:val="0002318d"/>
    <w:basedOn w:val="DefaultParagraphFont"/>
    <w:rPr/>
  </w:style>
  <w:style w:type="character" w:styleId="RodapChar" w:customStyle="1">
    <w:name w:val="Rodapé Char"/>
    <w:uiPriority w:val="99"/>
    <w:link w:val="Rodap"/>
    <w:rsid w:val="0002318d"/>
    <w:basedOn w:val="DefaultParagraphFont"/>
    <w:rPr/>
  </w:style>
  <w:style w:type="character" w:styleId="Ttulo1Char" w:customStyle="1">
    <w:name w:val="Título 1 Char"/>
    <w:uiPriority w:val="9"/>
    <w:link w:val="Ttulo1"/>
    <w:rsid w:val="00782126"/>
    <w:basedOn w:val="DefaultParagraphFont"/>
    <w:rPr>
      <w:rFonts w:ascii="Times New Roman" w:hAnsi="Times New Roman" w:cs=""/>
      <w:b/>
      <w:bCs/>
      <w:sz w:val="28"/>
      <w:szCs w:val="28"/>
    </w:rPr>
  </w:style>
  <w:style w:type="character" w:styleId="LinkdaInternet">
    <w:name w:val="Link da Internet"/>
    <w:uiPriority w:val="99"/>
    <w:unhideWhenUsed/>
    <w:rsid w:val="00b06fc2"/>
    <w:basedOn w:val="DefaultParagraphFont"/>
    <w:rPr>
      <w:color w:val="5F5F5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3506d6"/>
    <w:basedOn w:val="DefaultParagraphFont"/>
    <w:rPr>
      <w:color w:val="919191"/>
      <w:u w:val="single"/>
    </w:rPr>
  </w:style>
  <w:style w:type="character" w:styleId="Ttulo2Char" w:customStyle="1">
    <w:name w:val="Título 2 Char"/>
    <w:uiPriority w:val="9"/>
    <w:link w:val="Ttulo2"/>
    <w:rsid w:val="00851dde"/>
    <w:basedOn w:val="DefaultParagraphFont"/>
    <w:rPr>
      <w:rFonts w:ascii="Times New Roman" w:hAnsi="Times New Roman" w:cs=""/>
      <w:b/>
      <w:bCs/>
      <w:sz w:val="24"/>
      <w:szCs w:val="26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rFonts w:eastAsia="Times New Roman" w:cs="Times New Roman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6b27af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baloChar"/>
    <w:rsid w:val="005e0323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odocumento">
    <w:name w:val="Título do documento"/>
    <w:uiPriority w:val="10"/>
    <w:qFormat/>
    <w:link w:val="TtuloChar"/>
    <w:rsid w:val="0049326d"/>
    <w:basedOn w:val="Normal"/>
    <w:next w:val="Normal"/>
    <w:pPr>
      <w:pBdr>
        <w:top w:val="nil"/>
        <w:left w:val="nil"/>
        <w:bottom w:val="single" w:sz="8" w:space="4" w:color="DDDDDD"/>
        <w:right w:val="nil"/>
      </w:pBdr>
      <w:spacing w:lineRule="auto" w:line="240" w:before="0" w:after="300"/>
      <w:contextualSpacing/>
      <w:jc w:val="left"/>
    </w:pPr>
    <w:rPr>
      <w:rFonts w:ascii="Cambria" w:hAnsi="Cambria" w:cs=""/>
      <w:color w:val="000000"/>
      <w:spacing w:val="5"/>
      <w:sz w:val="52"/>
      <w:szCs w:val="52"/>
    </w:rPr>
  </w:style>
  <w:style w:type="paragraph" w:styleId="Cabealho">
    <w:name w:val="Cabeçalho"/>
    <w:uiPriority w:val="99"/>
    <w:unhideWhenUsed/>
    <w:link w:val="Cabealho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02318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sumrio">
    <w:name w:val="Título do sumário"/>
    <w:uiPriority w:val="39"/>
    <w:qFormat/>
    <w:semiHidden/>
    <w:unhideWhenUsed/>
    <w:rsid w:val="006446b6"/>
    <w:basedOn w:val="Ttulo1"/>
    <w:next w:val="Normal"/>
    <w:pPr/>
    <w:rPr>
      <w:lang w:eastAsia="pt-BR"/>
    </w:rPr>
  </w:style>
  <w:style w:type="paragraph" w:styleId="Sumrio1">
    <w:name w:val="Sumário 1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paragraph" w:styleId="Sumrio2">
    <w:name w:val="Sumário 2"/>
    <w:uiPriority w:val="39"/>
    <w:unhideWhenUsed/>
    <w:rsid w:val="0021546d"/>
    <w:basedOn w:val="Normal"/>
    <w:next w:val="Normal"/>
    <w:autoRedefine/>
    <w:pPr>
      <w:tabs>
        <w:tab w:val="left" w:pos="709" w:leader="none"/>
        <w:tab w:val="right" w:pos="9061" w:leader="dot"/>
      </w:tabs>
      <w:spacing w:before="0" w:after="10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30b60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F9638-2280-48EB-B2DC-D195C7E7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2015-03-26T14:48:00Z</dcterms:created>
  <dc:creator>Lazaro</dc:creator>
  <dc:language>pt-BR</dc:language>
  <cp:lastModifiedBy>Lazaro</cp:lastModifiedBy>
  <dcterms:modified xsi:type="dcterms:W3CDTF">2015-04-10T16:24:00Z</dcterms:modified>
  <cp:revision>25</cp:revision>
  <dc:title>Documento de Especificação de Requisitos</dc:title>
</cp:coreProperties>
</file>