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Component 4 to Component 3</w:t>
      </w:r>
    </w:p>
    <w:p>
      <w:pPr>
        <w:pStyle w:val="Subtitle"/>
      </w:pPr>
      <w:r>
        <w:t xml:space="preserve">Policy delivery API contract - version 1 | 15 October 2026</w:t>
      </w:r>
    </w:p>
    <w:p>
      <w:pPr>
        <w:pStyle w:val="Normal"/>
      </w:pPr>
      <w:r>
        <w:t xml:space="preserve">Component 4 calculates updates and sends them by HTTP POST. Component 3 selects the target sidecars, applies the policy and confirms application. Deadlines require approval; Leaky Bucket and retry-budget updates are automatic when evidence and safety checks pass.</w:t>
      </w:r>
    </w:p>
    <w:p>
      <w:pPr>
        <w:pStyle w:val="Heading1"/>
      </w:pPr>
      <w:r>
        <w:t xml:space="preserve">1. Receiving endpoints hosted by Component 3</w:t>
      </w:r>
    </w:p>
    <w:p>
      <w:pPr>
        <w:pStyle w:val="Code"/>
      </w:pPr>
      <w:r>
        <w:t xml:space="preserve">POST /api/v1/policies/deadlines</w:t>
      </w:r>
    </w:p>
    <w:p>
      <w:pPr>
        <w:pStyle w:val="Code"/>
      </w:pPr>
      <w:r>
        <w:t xml:space="preserve">POST /api/v1/policies/leaky-bucket</w:t>
      </w:r>
    </w:p>
    <w:p>
      <w:pPr>
        <w:pStyle w:val="Code"/>
      </w:pPr>
      <w:r>
        <w:t xml:space="preserve">POST /api/v1/policies/retry-budget</w:t>
      </w:r>
    </w:p>
    <w:p>
      <w:pPr>
        <w:pStyle w:val="Normal"/>
      </w:pPr>
      <w:r>
        <w:t xml:space="preserve">Base URL: http://&lt;COMPONENT3_HOST&gt;:&lt;PORT&gt;. Component 3 provides the reachable host and port.</w:t>
      </w:r>
    </w:p>
    <w:tbl>
      <w:tblPr>
        <w:tblW w:w="0" w:type="auto"/>
        <w:tblBorders>
          <w:top w:val="single" w:sz="4" w:color="D3DEE6"/>
          <w:left w:val="single" w:sz="4" w:color="D3DEE6"/>
          <w:bottom w:val="single" w:sz="4" w:color="D3DEE6"/>
          <w:right w:val="single" w:sz="4" w:color="D3DEE6"/>
          <w:insideH w:val="single" w:sz="4" w:color="D3DEE6"/>
          <w:insideV w:val="single" w:sz="4" w:color="D3DEE6"/>
        </w:tblBorders>
      </w:tblPr>
      <w:tr>
        <w:tc>
          <w:tcPr>
            <w:tcW w:w="0" w:type="auto"/>
          </w:tcPr>
          <w:p>
            <w:pPr>
              <w:pStyle w:val="TableText"/>
            </w:pPr>
            <w:r>
              <w:t xml:space="preserve">Action</w:t>
            </w:r>
          </w:p>
        </w:tc>
        <w:tc>
          <w:tcPr>
            <w:tcW w:w="0" w:type="auto"/>
          </w:tcPr>
          <w:p>
            <w:pPr>
              <w:pStyle w:val="TableText"/>
            </w:pPr>
            <w:r>
              <w:t xml:space="preserve">Target</w:t>
            </w:r>
          </w:p>
        </w:tc>
        <w:tc>
          <w:tcPr>
            <w:tcW w:w="0" w:type="auto"/>
          </w:tcPr>
          <w:p>
            <w:pPr>
              <w:pStyle w:val="TableText"/>
            </w:pPr>
            <w:r>
              <w:t xml:space="preserve">Unit</w:t>
            </w:r>
          </w:p>
        </w:tc>
      </w:tr>
      <w:tr>
        <w:tc>
          <w:tcPr>
            <w:tcW w:w="0" w:type="auto"/>
          </w:tcPr>
          <w:p>
            <w:pPr>
              <w:pStyle w:val="TableText"/>
            </w:pPr>
            <w:r>
              <w:t xml:space="preserve">CHAIN_DEADLINE</w:t>
            </w:r>
          </w:p>
        </w:tc>
        <w:tc>
          <w:tcPr>
            <w:tcW w:w="0" w:type="auto"/>
          </w:tcPr>
          <w:p>
            <w:pPr>
              <w:pStyle w:val="TableText"/>
            </w:pPr>
            <w:r>
              <w:t xml:space="preserve">Method + route</w:t>
            </w:r>
          </w:p>
        </w:tc>
        <w:tc>
          <w:tcPr>
            <w:tcW w:w="0" w:type="auto"/>
          </w:tcPr>
          <w:p>
            <w:pPr>
              <w:pStyle w:val="TableText"/>
            </w:pPr>
            <w:r>
              <w:t xml:space="preserve">milliseconds</w:t>
            </w:r>
          </w:p>
        </w:tc>
      </w:tr>
      <w:tr>
        <w:tc>
          <w:tcPr>
            <w:tcW w:w="0" w:type="auto"/>
          </w:tcPr>
          <w:p>
            <w:pPr>
              <w:pStyle w:val="TableText"/>
            </w:pPr>
            <w:r>
              <w:t xml:space="preserve">LEAKY_BUCKET</w:t>
            </w:r>
          </w:p>
        </w:tc>
        <w:tc>
          <w:tcPr>
            <w:tcW w:w="0" w:type="auto"/>
          </w:tcPr>
          <w:p>
            <w:pPr>
              <w:pStyle w:val="TableText"/>
            </w:pPr>
            <w:r>
              <w:t xml:space="preserve">Service name</w:t>
            </w:r>
          </w:p>
        </w:tc>
        <w:tc>
          <w:tcPr>
            <w:tcW w:w="0" w:type="auto"/>
          </w:tcPr>
          <w:p>
            <w:pPr>
              <w:pStyle w:val="TableText"/>
            </w:pPr>
            <w:r>
              <w:t xml:space="preserve">requests/second</w:t>
            </w:r>
          </w:p>
        </w:tc>
      </w:tr>
      <w:tr>
        <w:tc>
          <w:tcPr>
            <w:tcW w:w="0" w:type="auto"/>
          </w:tcPr>
          <w:p>
            <w:pPr>
              <w:pStyle w:val="TableText"/>
            </w:pPr>
            <w:r>
              <w:t xml:space="preserve">RETRY_BUDGET</w:t>
            </w:r>
          </w:p>
        </w:tc>
        <w:tc>
          <w:tcPr>
            <w:tcW w:w="0" w:type="auto"/>
          </w:tcPr>
          <w:p>
            <w:pPr>
              <w:pStyle w:val="TableText"/>
            </w:pPr>
            <w:r>
              <w:t xml:space="preserve">Service name</w:t>
            </w:r>
          </w:p>
        </w:tc>
        <w:tc>
          <w:tcPr>
            <w:tcW w:w="0" w:type="auto"/>
          </w:tcPr>
          <w:p>
            <w:pPr>
              <w:pStyle w:val="TableText"/>
            </w:pPr>
            <w:r>
              <w:t xml:space="preserve">extra attempts/original request</w:t>
            </w:r>
          </w:p>
        </w:tc>
      </w:tr>
    </w:tbl>
    <w:p>
      <w:pPr>
        <w:pStyle w:val="Heading1"/>
      </w:pPr>
      <w:r>
        <w:t xml:space="preserve">2. Headers and JSON body</w:t>
      </w:r>
    </w:p>
    <w:p>
      <w:pPr>
        <w:pStyle w:val="Normal"/>
      </w:pPr>
      <w:r>
        <w:t xml:space="preserve">Send Content-Type: application/json, Accept: application/json and Idempotency-Key: &lt;proposal.id&gt;. Authorization: Bearer &lt;token&gt; is optional and sent only if configured.</w:t>
      </w:r>
    </w:p>
    <w:p>
      <w:pPr>
        <w:pStyle w:val="Normal"/>
      </w:pPr>
      <w:r>
        <w:t xml:space="preserve">Example deadline request (illustrative values; additional delivery metadata may be present):</w:t>
      </w:r>
    </w:p>
    <w:p>
      <w:pPr>
        <w:pStyle w:val="Code"/>
      </w:pPr>
      <w:r>
        <w:t xml:space="preserve">{</w:t>
      </w:r>
    </w:p>
    <w:p>
      <w:pPr>
        <w:pStyle w:val="Code"/>
      </w:pPr>
      <w:r>
        <w:t xml:space="preserve">  "proposal": {</w:t>
      </w:r>
    </w:p>
    <w:p>
      <w:pPr>
        <w:pStyle w:val="Code"/>
      </w:pPr>
      <w:r>
        <w:t xml:space="preserve">    "id": "591fce21-d942-41b5-a24d-821755cc3c62",</w:t>
      </w:r>
    </w:p>
    <w:p>
      <w:pPr>
        <w:pStyle w:val="Code"/>
      </w:pPr>
      <w:r>
        <w:t xml:space="preserve">    "target": "POST /api/orders",</w:t>
      </w:r>
    </w:p>
    <w:p>
      <w:pPr>
        <w:pStyle w:val="Code"/>
      </w:pPr>
      <w:r>
        <w:t xml:space="preserve">    "action": "CHAIN_DEADLINE",</w:t>
      </w:r>
    </w:p>
    <w:p>
      <w:pPr>
        <w:pStyle w:val="Code"/>
      </w:pPr>
      <w:r>
        <w:t xml:space="preserve">    "source": "TEMPO",</w:t>
      </w:r>
    </w:p>
    <w:p>
      <w:pPr>
        <w:pStyle w:val="Code"/>
      </w:pPr>
      <w:r>
        <w:t xml:space="preserve">    "baseVersion": "v1",</w:t>
      </w:r>
    </w:p>
    <w:p>
      <w:pPr>
        <w:pStyle w:val="Code"/>
      </w:pPr>
      <w:r>
        <w:t xml:space="preserve">    "currentValue": 1000,</w:t>
      </w:r>
    </w:p>
    <w:p>
      <w:pPr>
        <w:pStyle w:val="Code"/>
      </w:pPr>
      <w:r>
        <w:t xml:space="preserve">    "proposedValue": 1440,</w:t>
      </w:r>
    </w:p>
    <w:p>
      <w:pPr>
        <w:pStyle w:val="Code"/>
      </w:pPr>
      <w:r>
        <w:t xml:space="preserve">    "unit": "milliseconds",</w:t>
      </w:r>
    </w:p>
    <w:p>
      <w:pPr>
        <w:pStyle w:val="Code"/>
      </w:pPr>
      <w:r>
        <w:t xml:space="preserve">    "generatedAt": "2026-10-15T10:00:00Z",</w:t>
      </w:r>
    </w:p>
    <w:p>
      <w:pPr>
        <w:pStyle w:val="Code"/>
      </w:pPr>
      <w:r>
        <w:t xml:space="preserve">    "expiresAt": "2026-10-15T10:05:00Z",</w:t>
      </w:r>
    </w:p>
    <w:p>
      <w:pPr>
        <w:pStyle w:val="Code"/>
      </w:pPr>
      <w:r>
        <w:t xml:space="preserve">    "measurements": {"recentP99Ms": 1200, "failureRate": 0.02},</w:t>
      </w:r>
    </w:p>
    <w:p>
      <w:pPr>
        <w:pStyle w:val="Code"/>
      </w:pPr>
      <w:r>
        <w:t xml:space="preserve">    "evidence": ["Persistent deadline failures supported this change"]</w:t>
      </w:r>
    </w:p>
    <w:p>
      <w:pPr>
        <w:pStyle w:val="Code"/>
      </w:pPr>
      <w:r>
        <w:t xml:space="preserve">  },</w:t>
      </w:r>
    </w:p>
    <w:p>
      <w:pPr>
        <w:pStyle w:val="Code"/>
      </w:pPr>
      <w:r>
        <w:t xml:space="preserve">  "decision": "APPROVED",</w:t>
      </w:r>
    </w:p>
    <w:p>
      <w:pPr>
        <w:pStyle w:val="Code"/>
      </w:pPr>
      <w:r>
        <w:t xml:space="preserve">  "reviewer": "sarala",</w:t>
      </w:r>
    </w:p>
    <w:p>
      <w:pPr>
        <w:pStyle w:val="Code"/>
      </w:pPr>
      <w:r>
        <w:t xml:space="preserve">  "decidedAt": "2026-10-15T10:01:00Z"</w:t>
      </w:r>
    </w:p>
    <w:p>
      <w:pPr>
        <w:pStyle w:val="Code"/>
      </w:pPr>
      <w:r>
        <w:t xml:space="preserve">}</w:t>
      </w:r>
    </w:p>
    <w:p>
      <w:r>
        <w:br w:type="page"/>
      </w:r>
    </w:p>
    <w:p>
      <w:pPr>
        <w:pStyle w:val="Title"/>
      </w:pPr>
      <w:r>
        <w:t xml:space="preserve">Policy values, versions and acknowledgement</w:t>
      </w:r>
    </w:p>
    <w:p>
      <w:pPr>
        <w:pStyle w:val="Heading1"/>
      </w:pPr>
      <w:r>
        <w:t xml:space="preserve">3. Values for each policy type</w:t>
      </w:r>
    </w:p>
    <w:tbl>
      <w:tblPr>
        <w:tblW w:w="0" w:type="auto"/>
        <w:tblBorders>
          <w:top w:val="single" w:sz="4" w:color="D3DEE6"/>
          <w:left w:val="single" w:sz="4" w:color="D3DEE6"/>
          <w:bottom w:val="single" w:sz="4" w:color="D3DEE6"/>
          <w:right w:val="single" w:sz="4" w:color="D3DEE6"/>
          <w:insideH w:val="single" w:sz="4" w:color="D3DEE6"/>
          <w:insideV w:val="single" w:sz="4" w:color="D3DEE6"/>
        </w:tblBorders>
      </w:tblPr>
      <w:tr>
        <w:tc>
          <w:tcPr>
            <w:tcW w:w="0" w:type="auto"/>
          </w:tcPr>
          <w:p>
            <w:pPr>
              <w:pStyle w:val="TableText"/>
            </w:pPr>
            <w:r>
              <w:t xml:space="preserve">Field</w:t>
            </w:r>
          </w:p>
        </w:tc>
        <w:tc>
          <w:tcPr>
            <w:tcW w:w="0" w:type="auto"/>
          </w:tcPr>
          <w:p>
            <w:pPr>
              <w:pStyle w:val="TableText"/>
            </w:pPr>
            <w:r>
              <w:t xml:space="preserve">Deadline example</w:t>
            </w:r>
          </w:p>
        </w:tc>
        <w:tc>
          <w:tcPr>
            <w:tcW w:w="0" w:type="auto"/>
          </w:tcPr>
          <w:p>
            <w:pPr>
              <w:pStyle w:val="TableText"/>
            </w:pPr>
            <w:r>
              <w:t xml:space="preserve">Leaky Bucket example</w:t>
            </w:r>
          </w:p>
        </w:tc>
        <w:tc>
          <w:tcPr>
            <w:tcW w:w="0" w:type="auto"/>
          </w:tcPr>
          <w:p>
            <w:pPr>
              <w:pStyle w:val="TableText"/>
            </w:pPr>
            <w:r>
              <w:t xml:space="preserve">Retry example</w:t>
            </w:r>
          </w:p>
        </w:tc>
      </w:tr>
      <w:tr>
        <w:tc>
          <w:tcPr>
            <w:tcW w:w="0" w:type="auto"/>
          </w:tcPr>
          <w:p>
            <w:pPr>
              <w:pStyle w:val="TableText"/>
            </w:pPr>
            <w:r>
              <w:t xml:space="preserve">action</w:t>
            </w:r>
          </w:p>
        </w:tc>
        <w:tc>
          <w:tcPr>
            <w:tcW w:w="0" w:type="auto"/>
          </w:tcPr>
          <w:p>
            <w:pPr>
              <w:pStyle w:val="TableText"/>
            </w:pPr>
            <w:r>
              <w:t xml:space="preserve">CHAIN_DEADLINE</w:t>
            </w:r>
          </w:p>
        </w:tc>
        <w:tc>
          <w:tcPr>
            <w:tcW w:w="0" w:type="auto"/>
          </w:tcPr>
          <w:p>
            <w:pPr>
              <w:pStyle w:val="TableText"/>
            </w:pPr>
            <w:r>
              <w:t xml:space="preserve">LEAKY_BUCKET</w:t>
            </w:r>
          </w:p>
        </w:tc>
        <w:tc>
          <w:tcPr>
            <w:tcW w:w="0" w:type="auto"/>
          </w:tcPr>
          <w:p>
            <w:pPr>
              <w:pStyle w:val="TableText"/>
            </w:pPr>
            <w:r>
              <w:t xml:space="preserve">RETRY_BUDGET</w:t>
            </w:r>
          </w:p>
        </w:tc>
      </w:tr>
      <w:tr>
        <w:tc>
          <w:tcPr>
            <w:tcW w:w="0" w:type="auto"/>
          </w:tcPr>
          <w:p>
            <w:pPr>
              <w:pStyle w:val="TableText"/>
            </w:pPr>
            <w:r>
              <w:t xml:space="preserve">target</w:t>
            </w:r>
          </w:p>
        </w:tc>
        <w:tc>
          <w:tcPr>
            <w:tcW w:w="0" w:type="auto"/>
          </w:tcPr>
          <w:p>
            <w:pPr>
              <w:pStyle w:val="TableText"/>
            </w:pPr>
            <w:r>
              <w:t xml:space="preserve">POST /api/orders</w:t>
            </w:r>
          </w:p>
        </w:tc>
        <w:tc>
          <w:tcPr>
            <w:tcW w:w="0" w:type="auto"/>
          </w:tcPr>
          <w:p>
            <w:pPr>
              <w:pStyle w:val="TableText"/>
            </w:pPr>
            <w:r>
              <w:t xml:space="preserve">order</w:t>
            </w:r>
          </w:p>
        </w:tc>
        <w:tc>
          <w:tcPr>
            <w:tcW w:w="0" w:type="auto"/>
          </w:tcPr>
          <w:p>
            <w:pPr>
              <w:pStyle w:val="TableText"/>
            </w:pPr>
            <w:r>
              <w:t xml:space="preserve">order</w:t>
            </w:r>
          </w:p>
        </w:tc>
      </w:tr>
      <w:tr>
        <w:tc>
          <w:tcPr>
            <w:tcW w:w="0" w:type="auto"/>
          </w:tcPr>
          <w:p>
            <w:pPr>
              <w:pStyle w:val="TableText"/>
            </w:pPr>
            <w:r>
              <w:t xml:space="preserve">source</w:t>
            </w:r>
          </w:p>
        </w:tc>
        <w:tc>
          <w:tcPr>
            <w:tcW w:w="0" w:type="auto"/>
          </w:tcPr>
          <w:p>
            <w:pPr>
              <w:pStyle w:val="TableText"/>
            </w:pPr>
            <w:r>
              <w:t xml:space="preserve">TEMPO</w:t>
            </w:r>
          </w:p>
        </w:tc>
        <w:tc>
          <w:tcPr>
            <w:tcW w:w="0" w:type="auto"/>
          </w:tcPr>
          <w:p>
            <w:pPr>
              <w:pStyle w:val="TableText"/>
            </w:pPr>
            <w:r>
              <w:t xml:space="preserve">PROMETHEUS</w:t>
            </w:r>
          </w:p>
        </w:tc>
        <w:tc>
          <w:tcPr>
            <w:tcW w:w="0" w:type="auto"/>
          </w:tcPr>
          <w:p>
            <w:pPr>
              <w:pStyle w:val="TableText"/>
            </w:pPr>
            <w:r>
              <w:t xml:space="preserve">PROMETHEUS</w:t>
            </w:r>
          </w:p>
        </w:tc>
      </w:tr>
      <w:tr>
        <w:tc>
          <w:tcPr>
            <w:tcW w:w="0" w:type="auto"/>
          </w:tcPr>
          <w:p>
            <w:pPr>
              <w:pStyle w:val="TableText"/>
            </w:pPr>
            <w:r>
              <w:t xml:space="preserve">currentValue</w:t>
            </w:r>
          </w:p>
        </w:tc>
        <w:tc>
          <w:tcPr>
            <w:tcW w:w="0" w:type="auto"/>
          </w:tcPr>
          <w:p>
            <w:pPr>
              <w:pStyle w:val="TableText"/>
            </w:pPr>
            <w:r>
              <w:t xml:space="preserve">1000</w:t>
            </w:r>
          </w:p>
        </w:tc>
        <w:tc>
          <w:tcPr>
            <w:tcW w:w="0" w:type="auto"/>
          </w:tcPr>
          <w:p>
            <w:pPr>
              <w:pStyle w:val="TableText"/>
            </w:pPr>
            <w:r>
              <w:t xml:space="preserve">120</w:t>
            </w:r>
          </w:p>
        </w:tc>
        <w:tc>
          <w:tcPr>
            <w:tcW w:w="0" w:type="auto"/>
          </w:tcPr>
          <w:p>
            <w:pPr>
              <w:pStyle w:val="TableText"/>
            </w:pPr>
            <w:r>
              <w:t xml:space="preserve">0.05</w:t>
            </w:r>
          </w:p>
        </w:tc>
      </w:tr>
      <w:tr>
        <w:tc>
          <w:tcPr>
            <w:tcW w:w="0" w:type="auto"/>
          </w:tcPr>
          <w:p>
            <w:pPr>
              <w:pStyle w:val="TableText"/>
            </w:pPr>
            <w:r>
              <w:t xml:space="preserve">proposedValue</w:t>
            </w:r>
          </w:p>
        </w:tc>
        <w:tc>
          <w:tcPr>
            <w:tcW w:w="0" w:type="auto"/>
          </w:tcPr>
          <w:p>
            <w:pPr>
              <w:pStyle w:val="TableText"/>
            </w:pPr>
            <w:r>
              <w:t xml:space="preserve">1440</w:t>
            </w:r>
          </w:p>
        </w:tc>
        <w:tc>
          <w:tcPr>
            <w:tcW w:w="0" w:type="auto"/>
          </w:tcPr>
          <w:p>
            <w:pPr>
              <w:pStyle w:val="TableText"/>
            </w:pPr>
            <w:r>
              <w:t xml:space="preserve">90</w:t>
            </w:r>
          </w:p>
        </w:tc>
        <w:tc>
          <w:tcPr>
            <w:tcW w:w="0" w:type="auto"/>
          </w:tcPr>
          <w:p>
            <w:pPr>
              <w:pStyle w:val="TableText"/>
            </w:pPr>
            <w:r>
              <w:t xml:space="preserve">0.02</w:t>
            </w:r>
          </w:p>
        </w:tc>
      </w:tr>
      <w:tr>
        <w:tc>
          <w:tcPr>
            <w:tcW w:w="0" w:type="auto"/>
          </w:tcPr>
          <w:p>
            <w:pPr>
              <w:pStyle w:val="TableText"/>
            </w:pPr>
            <w:r>
              <w:t xml:space="preserve">decision</w:t>
            </w:r>
          </w:p>
        </w:tc>
        <w:tc>
          <w:tcPr>
            <w:tcW w:w="0" w:type="auto"/>
          </w:tcPr>
          <w:p>
            <w:pPr>
              <w:pStyle w:val="TableText"/>
            </w:pPr>
            <w:r>
              <w:t xml:space="preserve">APPROVED</w:t>
            </w:r>
          </w:p>
        </w:tc>
        <w:tc>
          <w:tcPr>
            <w:tcW w:w="0" w:type="auto"/>
          </w:tcPr>
          <w:p>
            <w:pPr>
              <w:pStyle w:val="TableText"/>
            </w:pPr>
            <w:r>
              <w:t xml:space="preserve">AUTOMATIC</w:t>
            </w:r>
          </w:p>
        </w:tc>
        <w:tc>
          <w:tcPr>
            <w:tcW w:w="0" w:type="auto"/>
          </w:tcPr>
          <w:p>
            <w:pPr>
              <w:pStyle w:val="TableText"/>
            </w:pPr>
            <w:r>
              <w:t xml:space="preserve">AUTOMATIC</w:t>
            </w:r>
          </w:p>
        </w:tc>
      </w:tr>
    </w:tbl>
    <w:p>
      <w:pPr>
        <w:pStyle w:val="Normal"/>
      </w:pPr>
      <w:r>
        <w:t xml:space="preserve">Every message has a unique UUID and fresh UTC timestamps. For automatic updates, reviewer is adaptive-controller. Measurements vary by action; evidence text is explanatory. Retry ratio 0.02 means two extra attempts per 100 original requests. Leaky Bucket updates change the rate, not bucket capacity.</w:t>
      </w:r>
    </w:p>
    <w:p>
      <w:pPr>
        <w:pStyle w:val="Heading1"/>
      </w:pPr>
      <w:r>
        <w:t xml:space="preserve">4. Policy versions</w:t>
      </w:r>
    </w:p>
    <w:p>
      <w:pPr>
        <w:pStyle w:val="Normal"/>
      </w:pPr>
      <w:r>
        <w:t xml:space="preserve">Component 4 sends baseVersion: the current policy reference used for calculation. Component 3 confirms a new policyVersion after application. Example: baseVersion v1 -&gt; apply update -&gt; policyVersion v2 -&gt; next recommendation uses v2. Maintain versions consistently per target.</w:t>
      </w:r>
    </w:p>
    <w:p>
      <w:pPr>
        <w:pStyle w:val="Normal"/>
      </w:pPr>
      <w:r>
        <w:t xml:space="preserve">Initial deadline references may be prometheus-config:&lt;milliseconds&gt;, for example prometheus-config:1000. Verify the matching startup configuration. The /api/v1/ URL identifies the API contract version, not the applied policy version.</w:t>
      </w:r>
    </w:p>
    <w:p>
      <w:pPr>
        <w:pStyle w:val="Heading1"/>
      </w:pPr>
      <w:r>
        <w:t xml:space="preserve">5. Acceptance response from Component 3</w:t>
      </w:r>
    </w:p>
    <w:p>
      <w:pPr>
        <w:pStyle w:val="Normal"/>
      </w:pPr>
      <w:r>
        <w:t xml:space="preserve">Return HTTP 202 with this JSON after validation and acceptance:</w:t>
      </w:r>
    </w:p>
    <w:p>
      <w:pPr>
        <w:pStyle w:val="Code"/>
      </w:pPr>
      <w:r>
        <w:t xml:space="preserve">{"status": "ACCEPTED"}</w:t>
      </w:r>
    </w:p>
    <w:p>
      <w:pPr>
        <w:pStyle w:val="Normal"/>
      </w:pPr>
      <w:r>
        <w:t xml:space="preserve">ACCEPTED means received, not applied. Component 4 records SENT. Component 3 remains responsible for distribution and reporting confirmed application.</w:t>
      </w:r>
    </w:p>
    <w:p>
      <w:pPr>
        <w:pStyle w:val="Heading1"/>
      </w:pPr>
      <w:r>
        <w:t xml:space="preserve">6. Application confirmation to Component 4</w:t>
      </w:r>
    </w:p>
    <w:p>
      <w:pPr>
        <w:pStyle w:val="Code"/>
      </w:pPr>
      <w:r>
        <w:t xml:space="preserve">POST http://&lt;COMPONENT4_HOST&gt;:8090/api/v2/intelligence/changes/{proposalId}/acknowledge</w:t>
      </w:r>
    </w:p>
    <w:p>
      <w:pPr>
        <w:pStyle w:val="Code"/>
      </w:pPr>
      <w:r>
        <w:t xml:space="preserve">Content-Type: application/json</w:t>
      </w:r>
    </w:p>
    <w:p>
      <w:pPr>
        <w:pStyle w:val="Code"/>
      </w:pPr>
      <w:r>
        <w:t xml:space="preserve">X-RRPE-Control-Token: &lt;Component4-control-token&gt;</w:t>
      </w:r>
    </w:p>
    <w:p>
      <w:pPr>
        <w:pStyle w:val="Code"/>
      </w:pPr>
      <w:r>
        <w:t xml:space="preserve"/>
      </w:r>
    </w:p>
    <w:p>
      <w:pPr>
        <w:pStyle w:val="Code"/>
      </w:pPr>
      <w:r>
        <w:t xml:space="preserve">{"status": "APPLIED", "policyVersion": "v2", "appliedValue": 1440}</w:t>
      </w:r>
    </w:p>
    <w:p>
      <w:pPr>
        <w:pStyle w:val="Normal"/>
      </w:pPr>
      <w:r>
        <w:t xml:space="preserve">Use the original proposal ID. The applied value must exactly match proposedValue, and policyVersion must be non-empty and different from baseVersion. The callback returns HTTP 204 on success. Its control token is required even if outbound bearer authentication is omitted. If application is already confirmed, Component 3 may return the APPLIED JSON directly to the original POST.</w:t>
      </w:r>
    </w:p>
    <w:p>
      <w:pPr>
        <w:pStyle w:val="Heading1"/>
      </w:pPr>
      <w:r>
        <w:t xml:space="preserve">7. Receiver rules</w:t>
      </w:r>
    </w:p>
    <w:p>
      <w:pPr>
        <w:pStyle w:val="Normal"/>
      </w:pPr>
      <w:r>
        <w:t xml:space="preserve">Deduplicate by proposal ID. Validate action, target, units, decision, expiry and current value/base version before application. Reject MOCK input. Return non-2xx for invalid or stale updates (for example 400 or 409). Confirm promptly while the proposal remains valid. Do not report APPLIED for partial sidecar application. Preserve the agreed field names and accept nullable/additional metadata.</w:t>
      </w:r>
    </w:p>
    <w:p>
      <w:pPr>
        <w:pStyle w:val="Small"/>
      </w:pPr>
      <w:r>
        <w:t xml:space="preserve">Component 4 configuration: COMPONENT3_DEADLINE_URL, COMPONENT3_LEAKY_BUCKET_URL and COMPONENT3_RETRY_BUDGET_URL hold the full receiving URLs. COMPONENT3_POLICY_TOKEN is optional; RRPE_CONTROL_TOKEN protects the acknowledgement endpoint.</w:t>
      </w:r>
    </w:p>
    <w:sectPr>
      <w:pgSz w:w="11906" w:h="16838"/>
      <w:pgMar w:top="850" w:right="850" w:bottom="850" w:left="850"/>
    </w:sectPr>
  </w:body>
</w:document>
</file>

<file path=word/styles.xml><?xml version="1.0" encoding="utf-8"?>
<w:styles xmlns:w="http://schemas.openxmlformats.org/wordprocessingml/2006/main">
  <w:docDefaults>
    <w:rPrDefault>
      <w:rPr>
        <w:rFonts w:ascii="Calibri" w:hAnsi="Calibri"/>
        <w:sz w:val="21"/>
      </w:rPr>
    </w:rPrDefault>
    <w:pPrDefault>
      <w:pPr>
        <w:spacing w:after="100"/>
      </w:pPr>
    </w:pPrDefault>
  </w:docDefaults>
  <w:style w:type="paragraph" w:default="1" w:styleId="Normal">
    <w:name w:val="Normal"/>
  </w:style>
  <w:style w:type="paragraph" w:styleId="Title">
    <w:name w:val="Title"/>
    <w:pPr>
      <w:keepNext/>
      <w:spacing w:after="160"/>
    </w:pPr>
    <w:rPr>
      <w:b/>
      <w:color w:val="17354A"/>
      <w:sz w:val="32"/>
    </w:rPr>
  </w:style>
  <w:style w:type="paragraph" w:styleId="Subtitle">
    <w:name w:val="Subtitle"/>
    <w:rPr>
      <w:color w:val="617586"/>
      <w:sz w:val="20"/>
    </w:rPr>
  </w:style>
  <w:style w:type="paragraph" w:styleId="Heading1">
    <w:name w:val="Heading 1"/>
    <w:pPr>
      <w:keepNext/>
      <w:spacing w:before="150" w:after="90"/>
    </w:pPr>
    <w:rPr>
      <w:b/>
      <w:color w:val="087E76"/>
      <w:sz w:val="23"/>
    </w:rPr>
  </w:style>
  <w:style w:type="paragraph" w:styleId="Code">
    <w:name w:val="Code"/>
    <w:pPr>
      <w:spacing w:after="0" w:line="190" w:lineRule="exact"/>
      <w:shd w:fill="F2F5F7"/>
    </w:pPr>
    <w:rPr>
      <w:rFonts w:ascii="Consolas" w:hAnsi="Consolas"/>
      <w:sz w:val="17"/>
    </w:rPr>
  </w:style>
  <w:style w:type="paragraph" w:styleId="TableText">
    <w:name w:val="Table Text"/>
    <w:pPr>
      <w:spacing w:before="50" w:after="50"/>
    </w:pPr>
    <w:rPr>
      <w:sz w:val="19"/>
    </w:rPr>
  </w:style>
  <w:style w:type="paragraph" w:styleId="Small">
    <w:name w:val="Small"/>
    <w:rPr>
      <w:sz w:val="18"/>
      <w:color w:val="617586"/>
    </w:rPr>
  </w:style>
</w:styles>
</file>

<file path=word/_rels/document.xml.rels><?xml version="1.0" encoding="UTF-8"?><Relationships xmlns="http://schemas.openxmlformats.org/package/2006/relationships"><Relationship Id="rId1" Type="http://schemas.openxmlformats.org/officeDocument/2006/relationships/styles" Target="styles.xml"/></Relationships>
</file>