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45" w:rsidRPr="00CE4B45" w:rsidRDefault="00CE4B45" w:rsidP="00CE4B45">
      <w:pPr>
        <w:spacing w:before="300" w:after="150" w:line="240" w:lineRule="auto"/>
        <w:outlineLvl w:val="2"/>
        <w:rPr>
          <w:rFonts w:ascii="Arial" w:eastAsia="Times New Roman" w:hAnsi="Arial" w:cs="Arial"/>
          <w:b/>
          <w:bCs/>
          <w:color w:val="041C5D"/>
          <w:sz w:val="28"/>
          <w:szCs w:val="28"/>
          <w:lang w:val="en"/>
        </w:rPr>
      </w:pPr>
      <w:bookmarkStart w:id="0" w:name="skipsideNav"/>
      <w:bookmarkStart w:id="1" w:name="skipNav-CMSContent"/>
      <w:bookmarkEnd w:id="0"/>
      <w:bookmarkEnd w:id="1"/>
      <w:r w:rsidRPr="00CE4B45">
        <w:rPr>
          <w:rFonts w:ascii="Arial" w:eastAsia="Times New Roman" w:hAnsi="Arial" w:cs="Arial"/>
          <w:b/>
          <w:bCs/>
          <w:color w:val="041C5D"/>
          <w:sz w:val="28"/>
          <w:szCs w:val="28"/>
          <w:lang w:val="en"/>
        </w:rPr>
        <w:t>2020 Census Enterprise Architecture and Infrastructure Transition Plan</w:t>
      </w:r>
    </w:p>
    <w:p w:rsidR="00CE4B45" w:rsidRPr="00CE4B45" w:rsidRDefault="00CE4B45" w:rsidP="00CE4B45">
      <w:pPr>
        <w:spacing w:after="0" w:line="240" w:lineRule="auto"/>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t xml:space="preserve">December 28, 2015 </w:t>
      </w:r>
    </w:p>
    <w:p w:rsidR="00CE4B45" w:rsidRPr="00CE4B45" w:rsidRDefault="00CE4B45" w:rsidP="00CE4B45">
      <w:pPr>
        <w:spacing w:line="240" w:lineRule="auto"/>
        <w:ind w:hanging="18913"/>
        <w:rPr>
          <w:rFonts w:ascii="Arial" w:eastAsia="Times New Roman" w:hAnsi="Arial" w:cs="Arial"/>
          <w:color w:val="333333"/>
          <w:sz w:val="20"/>
          <w:szCs w:val="20"/>
          <w:lang w:val="en"/>
        </w:rPr>
      </w:pPr>
      <w:hyperlink r:id="rId5" w:tgtFrame="_new" w:tooltip="Twitter" w:history="1">
        <w:r w:rsidRPr="00CE4B45">
          <w:rPr>
            <w:rFonts w:ascii="Arial" w:eastAsia="Times New Roman" w:hAnsi="Arial" w:cs="Arial"/>
            <w:color w:val="1C6C96"/>
            <w:sz w:val="20"/>
            <w:szCs w:val="20"/>
            <w:lang w:val="en"/>
          </w:rPr>
          <w:t xml:space="preserve">Tweet </w:t>
        </w:r>
      </w:hyperlink>
      <w:hyperlink r:id="rId6" w:tgtFrame="_new" w:tooltip="Facebook" w:history="1">
        <w:r w:rsidRPr="00CE4B45">
          <w:rPr>
            <w:rFonts w:ascii="Arial" w:eastAsia="Times New Roman" w:hAnsi="Arial" w:cs="Arial"/>
            <w:color w:val="1C6C96"/>
            <w:sz w:val="20"/>
            <w:szCs w:val="20"/>
            <w:lang w:val="en"/>
          </w:rPr>
          <w:t xml:space="preserve">Share on Facebook </w:t>
        </w:r>
      </w:hyperlink>
      <w:r w:rsidRPr="00CE4B45">
        <w:rPr>
          <w:rFonts w:ascii="Arial" w:eastAsia="Times New Roman" w:hAnsi="Arial" w:cs="Arial"/>
          <w:color w:val="333333"/>
          <w:sz w:val="20"/>
          <w:szCs w:val="20"/>
          <w:lang w:val="en"/>
        </w:rPr>
        <w:pict/>
      </w:r>
      <w:hyperlink r:id="rId7" w:tgtFrame="_new" w:history="1">
        <w:proofErr w:type="spellStart"/>
        <w:r w:rsidRPr="00CE4B45">
          <w:rPr>
            <w:rFonts w:ascii="Arial" w:eastAsia="Times New Roman" w:hAnsi="Arial" w:cs="Arial"/>
            <w:i/>
            <w:iCs/>
            <w:color w:val="1C6C96"/>
            <w:sz w:val="20"/>
            <w:szCs w:val="20"/>
            <w:lang w:val="en"/>
          </w:rPr>
          <w:t>Linkedin</w:t>
        </w:r>
        <w:proofErr w:type="spellEnd"/>
        <w:r w:rsidRPr="00CE4B45">
          <w:rPr>
            <w:rFonts w:ascii="Arial" w:eastAsia="Times New Roman" w:hAnsi="Arial" w:cs="Arial"/>
            <w:color w:val="1C6C96"/>
            <w:sz w:val="20"/>
            <w:szCs w:val="20"/>
            <w:lang w:val="en"/>
          </w:rPr>
          <w:t xml:space="preserve"> </w:t>
        </w:r>
      </w:hyperlink>
      <w:hyperlink r:id="rId8" w:history="1">
        <w:r w:rsidRPr="00CE4B45">
          <w:rPr>
            <w:rFonts w:ascii="Arial" w:eastAsia="Times New Roman" w:hAnsi="Arial" w:cs="Arial"/>
            <w:color w:val="1C6C96"/>
            <w:sz w:val="20"/>
            <w:szCs w:val="20"/>
            <w:lang w:val="en"/>
          </w:rPr>
          <w:t>Email</w:t>
        </w:r>
      </w:hyperlink>
      <w:r w:rsidRPr="00CE4B45">
        <w:rPr>
          <w:rFonts w:ascii="Arial" w:eastAsia="Times New Roman" w:hAnsi="Arial" w:cs="Arial"/>
          <w:color w:val="333333"/>
          <w:sz w:val="20"/>
          <w:szCs w:val="20"/>
          <w:lang w:val="en"/>
        </w:rPr>
        <w:t xml:space="preserve"> </w:t>
      </w:r>
      <w:hyperlink r:id="rId9" w:history="1">
        <w:r w:rsidRPr="00CE4B45">
          <w:rPr>
            <w:rFonts w:ascii="Arial" w:eastAsia="Times New Roman" w:hAnsi="Arial" w:cs="Arial"/>
            <w:color w:val="1C6C96"/>
            <w:sz w:val="20"/>
            <w:szCs w:val="20"/>
            <w:lang w:val="en"/>
          </w:rPr>
          <w:t>Print</w:t>
        </w:r>
      </w:hyperlink>
      <w:r w:rsidRPr="00CE4B45">
        <w:rPr>
          <w:rFonts w:ascii="Arial" w:eastAsia="Times New Roman" w:hAnsi="Arial" w:cs="Arial"/>
          <w:color w:val="333333"/>
          <w:sz w:val="20"/>
          <w:szCs w:val="20"/>
          <w:lang w:val="en"/>
        </w:rPr>
        <w:t xml:space="preserve"> </w:t>
      </w:r>
    </w:p>
    <w:p w:rsidR="00CE4B45" w:rsidRPr="00CE4B45" w:rsidRDefault="00CE4B45" w:rsidP="00CE4B45">
      <w:pPr>
        <w:spacing w:after="0" w:line="240" w:lineRule="auto"/>
        <w:jc w:val="center"/>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pict/>
      </w:r>
      <w:bookmarkStart w:id="2" w:name="par_textimage"/>
      <w:bookmarkEnd w:id="2"/>
      <w:r w:rsidRPr="00CE4B45">
        <w:rPr>
          <w:rFonts w:ascii="Verdana" w:eastAsia="Times New Roman" w:hAnsi="Verdana" w:cs="Arial"/>
          <w:noProof/>
          <w:color w:val="345B92"/>
          <w:sz w:val="17"/>
          <w:szCs w:val="17"/>
        </w:rPr>
        <w:drawing>
          <wp:inline distT="0" distB="0" distL="0" distR="0">
            <wp:extent cx="1400175" cy="1811020"/>
            <wp:effectExtent l="0" t="0" r="9525" b="0"/>
            <wp:docPr id="1" name="Picture 1" descr="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811020"/>
                    </a:xfrm>
                    <a:prstGeom prst="rect">
                      <a:avLst/>
                    </a:prstGeom>
                    <a:noFill/>
                    <a:ln>
                      <a:noFill/>
                    </a:ln>
                  </pic:spPr>
                </pic:pic>
              </a:graphicData>
            </a:graphic>
          </wp:inline>
        </w:drawing>
      </w:r>
    </w:p>
    <w:p w:rsidR="00CE4B45" w:rsidRPr="00CE4B45" w:rsidRDefault="00CE4B45" w:rsidP="00CE4B45">
      <w:pPr>
        <w:spacing w:after="0" w:line="240" w:lineRule="auto"/>
        <w:rPr>
          <w:rFonts w:ascii="Arial" w:eastAsia="Times New Roman" w:hAnsi="Arial" w:cs="Arial"/>
          <w:color w:val="333333"/>
          <w:sz w:val="20"/>
          <w:szCs w:val="20"/>
          <w:lang w:val="en"/>
        </w:rPr>
      </w:pPr>
      <w:hyperlink r:id="rId12" w:tgtFrame="_new" w:history="1">
        <w:r w:rsidRPr="00CE4B45">
          <w:rPr>
            <w:rFonts w:ascii="Verdana" w:eastAsia="Times New Roman" w:hAnsi="Verdana" w:cs="Arial"/>
            <w:color w:val="345B92"/>
            <w:sz w:val="17"/>
            <w:szCs w:val="17"/>
            <w:lang w:val="en"/>
          </w:rPr>
          <w:t>Download 2020 Census Enterprise Architecture and Infrastructure Transition Plan [PDF - 19 MB]</w:t>
        </w:r>
      </w:hyperlink>
      <w:r w:rsidRPr="00CE4B45">
        <w:rPr>
          <w:rFonts w:ascii="Arial" w:eastAsia="Times New Roman" w:hAnsi="Arial" w:cs="Arial"/>
          <w:color w:val="333333"/>
          <w:sz w:val="20"/>
          <w:szCs w:val="20"/>
          <w:lang w:val="en"/>
        </w:rPr>
        <w:t xml:space="preserve"> </w:t>
      </w:r>
    </w:p>
    <w:p w:rsidR="00CE4B45" w:rsidRPr="00CE4B45" w:rsidRDefault="00CE4B45" w:rsidP="00CE4B45">
      <w:pPr>
        <w:spacing w:after="120" w:line="240" w:lineRule="auto"/>
        <w:rPr>
          <w:rFonts w:ascii="Arial" w:eastAsia="Times New Roman" w:hAnsi="Arial" w:cs="Arial"/>
          <w:color w:val="333333"/>
          <w:sz w:val="24"/>
          <w:szCs w:val="24"/>
          <w:lang w:val="en"/>
        </w:rPr>
      </w:pPr>
      <w:r w:rsidRPr="00CE4B45">
        <w:rPr>
          <w:rFonts w:ascii="Arial" w:eastAsia="Times New Roman" w:hAnsi="Arial" w:cs="Arial"/>
          <w:color w:val="333333"/>
          <w:sz w:val="24"/>
          <w:szCs w:val="24"/>
          <w:lang w:val="en"/>
        </w:rPr>
        <w:t>The 2020 Census Enterprise Architecture and Infrastructure Transition Plan (CEAITP) describes the multiyear plan for the Census Information Technology (IT) evolution from the current 2015 Solution Architecture to the 2020 Target Solution Architecture that will be capable to support the 2020 Census operations. By providing an integrated view and actionable plan of the IT activities and activities milestones, the CEAITP helps to realize the desired Solution Architecture that can fulfill the business goals of achieving cost efficient Census via modern technology, and implementing innovative Census operations as laid out in the 2020 Census Operation Plan for:</w:t>
      </w:r>
    </w:p>
    <w:p w:rsidR="00CE4B45" w:rsidRPr="00CE4B45" w:rsidRDefault="00CE4B45" w:rsidP="00CE4B45">
      <w:pPr>
        <w:numPr>
          <w:ilvl w:val="0"/>
          <w:numId w:val="1"/>
        </w:numPr>
        <w:spacing w:after="0" w:line="240" w:lineRule="atLeast"/>
        <w:ind w:left="345" w:firstLine="0"/>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t>Reengineering Address Canvassing;</w:t>
      </w:r>
    </w:p>
    <w:p w:rsidR="00CE4B45" w:rsidRPr="00CE4B45" w:rsidRDefault="00CE4B45" w:rsidP="00CE4B45">
      <w:pPr>
        <w:numPr>
          <w:ilvl w:val="0"/>
          <w:numId w:val="1"/>
        </w:numPr>
        <w:spacing w:after="0" w:line="240" w:lineRule="atLeast"/>
        <w:ind w:left="345" w:firstLine="0"/>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t>Optimizing Self-Response;</w:t>
      </w:r>
    </w:p>
    <w:p w:rsidR="00CE4B45" w:rsidRPr="00CE4B45" w:rsidRDefault="00CE4B45" w:rsidP="00CE4B45">
      <w:pPr>
        <w:numPr>
          <w:ilvl w:val="0"/>
          <w:numId w:val="1"/>
        </w:numPr>
        <w:spacing w:after="0" w:line="240" w:lineRule="atLeast"/>
        <w:ind w:left="345" w:firstLine="0"/>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t>Utilizing Administrative Records and Third-Party Data; and</w:t>
      </w:r>
    </w:p>
    <w:p w:rsidR="00CE4B45" w:rsidRPr="00CE4B45" w:rsidRDefault="00CE4B45" w:rsidP="00CE4B45">
      <w:pPr>
        <w:numPr>
          <w:ilvl w:val="0"/>
          <w:numId w:val="1"/>
        </w:numPr>
        <w:spacing w:after="150" w:line="240" w:lineRule="atLeast"/>
        <w:ind w:left="345" w:firstLine="0"/>
        <w:rPr>
          <w:rFonts w:ascii="Arial" w:eastAsia="Times New Roman" w:hAnsi="Arial" w:cs="Arial"/>
          <w:color w:val="333333"/>
          <w:sz w:val="20"/>
          <w:szCs w:val="20"/>
          <w:lang w:val="en"/>
        </w:rPr>
      </w:pPr>
      <w:r w:rsidRPr="00CE4B45">
        <w:rPr>
          <w:rFonts w:ascii="Arial" w:eastAsia="Times New Roman" w:hAnsi="Arial" w:cs="Arial"/>
          <w:color w:val="333333"/>
          <w:sz w:val="20"/>
          <w:szCs w:val="20"/>
          <w:lang w:val="en"/>
        </w:rPr>
        <w:t>Reengineering Field Operations.</w:t>
      </w:r>
    </w:p>
    <w:p w:rsidR="00B06090" w:rsidRDefault="00B06090">
      <w:bookmarkStart w:id="3" w:name="_GoBack"/>
      <w:bookmarkEnd w:id="3"/>
    </w:p>
    <w:sectPr w:rsidR="00B0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4563C"/>
    <w:multiLevelType w:val="multilevel"/>
    <w:tmpl w:val="E854A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9A"/>
    <w:rsid w:val="004D629A"/>
    <w:rsid w:val="00B06090"/>
    <w:rsid w:val="00CE4B45"/>
    <w:rsid w:val="00E26704"/>
    <w:rsid w:val="00F4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324F9-8920-4F18-8B1E-8C7D0B9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4B45"/>
    <w:rPr>
      <w:strike w:val="0"/>
      <w:dstrike w:val="0"/>
      <w:color w:val="1C6C96"/>
      <w:u w:val="none"/>
      <w:effect w:val="none"/>
      <w:shd w:val="clear" w:color="auto" w:fill="auto"/>
    </w:rPr>
  </w:style>
  <w:style w:type="paragraph" w:styleId="NormalWeb">
    <w:name w:val="Normal (Web)"/>
    <w:basedOn w:val="Normal"/>
    <w:uiPriority w:val="99"/>
    <w:semiHidden/>
    <w:unhideWhenUsed/>
    <w:rsid w:val="00CE4B45"/>
    <w:pPr>
      <w:spacing w:after="120" w:line="240" w:lineRule="auto"/>
    </w:pPr>
    <w:rPr>
      <w:rFonts w:ascii="Arial" w:eastAsia="Times New Roman" w:hAnsi="Arial" w:cs="Arial"/>
      <w:sz w:val="24"/>
      <w:szCs w:val="24"/>
    </w:rPr>
  </w:style>
  <w:style w:type="character" w:customStyle="1" w:styleId="hidden">
    <w:name w:val="hidden"/>
    <w:basedOn w:val="DefaultParagraphFont"/>
    <w:rsid w:val="00CE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353292">
      <w:bodyDiv w:val="1"/>
      <w:marLeft w:val="0"/>
      <w:marRight w:val="0"/>
      <w:marTop w:val="0"/>
      <w:marBottom w:val="0"/>
      <w:divBdr>
        <w:top w:val="none" w:sz="0" w:space="0" w:color="auto"/>
        <w:left w:val="none" w:sz="0" w:space="0" w:color="auto"/>
        <w:bottom w:val="none" w:sz="0" w:space="0" w:color="auto"/>
        <w:right w:val="none" w:sz="0" w:space="0" w:color="auto"/>
      </w:divBdr>
      <w:divsChild>
        <w:div w:id="792291051">
          <w:marLeft w:val="105"/>
          <w:marRight w:val="105"/>
          <w:marTop w:val="0"/>
          <w:marBottom w:val="0"/>
          <w:divBdr>
            <w:top w:val="none" w:sz="0" w:space="0" w:color="auto"/>
            <w:left w:val="none" w:sz="0" w:space="0" w:color="auto"/>
            <w:bottom w:val="none" w:sz="0" w:space="0" w:color="auto"/>
            <w:right w:val="none" w:sz="0" w:space="0" w:color="auto"/>
          </w:divBdr>
          <w:divsChild>
            <w:div w:id="348798798">
              <w:marLeft w:val="0"/>
              <w:marRight w:val="0"/>
              <w:marTop w:val="0"/>
              <w:marBottom w:val="0"/>
              <w:divBdr>
                <w:top w:val="none" w:sz="0" w:space="0" w:color="auto"/>
                <w:left w:val="none" w:sz="0" w:space="0" w:color="auto"/>
                <w:bottom w:val="none" w:sz="0" w:space="0" w:color="auto"/>
                <w:right w:val="none" w:sz="0" w:space="0" w:color="auto"/>
              </w:divBdr>
              <w:divsChild>
                <w:div w:id="1736969080">
                  <w:marLeft w:val="-225"/>
                  <w:marRight w:val="-225"/>
                  <w:marTop w:val="0"/>
                  <w:marBottom w:val="0"/>
                  <w:divBdr>
                    <w:top w:val="none" w:sz="0" w:space="0" w:color="auto"/>
                    <w:left w:val="none" w:sz="0" w:space="0" w:color="auto"/>
                    <w:bottom w:val="none" w:sz="0" w:space="0" w:color="auto"/>
                    <w:right w:val="none" w:sz="0" w:space="0" w:color="auto"/>
                  </w:divBdr>
                  <w:divsChild>
                    <w:div w:id="975989890">
                      <w:marLeft w:val="0"/>
                      <w:marRight w:val="0"/>
                      <w:marTop w:val="0"/>
                      <w:marBottom w:val="0"/>
                      <w:divBdr>
                        <w:top w:val="none" w:sz="0" w:space="0" w:color="auto"/>
                        <w:left w:val="none" w:sz="0" w:space="0" w:color="auto"/>
                        <w:bottom w:val="none" w:sz="0" w:space="0" w:color="auto"/>
                        <w:right w:val="none" w:sz="0" w:space="0" w:color="auto"/>
                      </w:divBdr>
                      <w:divsChild>
                        <w:div w:id="1967007882">
                          <w:marLeft w:val="0"/>
                          <w:marRight w:val="0"/>
                          <w:marTop w:val="0"/>
                          <w:marBottom w:val="150"/>
                          <w:divBdr>
                            <w:top w:val="none" w:sz="0" w:space="0" w:color="auto"/>
                            <w:left w:val="none" w:sz="0" w:space="0" w:color="auto"/>
                            <w:bottom w:val="none" w:sz="0" w:space="0" w:color="auto"/>
                            <w:right w:val="none" w:sz="0" w:space="0" w:color="auto"/>
                          </w:divBdr>
                        </w:div>
                        <w:div w:id="115772341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225"/>
                          <w:divBdr>
                            <w:top w:val="none" w:sz="0" w:space="0" w:color="auto"/>
                            <w:left w:val="none" w:sz="0" w:space="0" w:color="auto"/>
                            <w:bottom w:val="none" w:sz="0" w:space="0" w:color="auto"/>
                            <w:right w:val="none" w:sz="0" w:space="0" w:color="auto"/>
                          </w:divBdr>
                        </w:div>
                        <w:div w:id="2111242845">
                          <w:marLeft w:val="0"/>
                          <w:marRight w:val="0"/>
                          <w:marTop w:val="0"/>
                          <w:marBottom w:val="0"/>
                          <w:divBdr>
                            <w:top w:val="none" w:sz="0" w:space="0" w:color="auto"/>
                            <w:left w:val="none" w:sz="0" w:space="0" w:color="auto"/>
                            <w:bottom w:val="none" w:sz="0" w:space="0" w:color="auto"/>
                            <w:right w:val="none" w:sz="0" w:space="0" w:color="auto"/>
                          </w:divBdr>
                          <w:divsChild>
                            <w:div w:id="626930301">
                              <w:marLeft w:val="0"/>
                              <w:marRight w:val="0"/>
                              <w:marTop w:val="0"/>
                              <w:marBottom w:val="150"/>
                              <w:divBdr>
                                <w:top w:val="none" w:sz="0" w:space="0" w:color="auto"/>
                                <w:left w:val="none" w:sz="0" w:space="0" w:color="auto"/>
                                <w:bottom w:val="none" w:sz="0" w:space="0" w:color="auto"/>
                                <w:right w:val="none" w:sz="0" w:space="0" w:color="auto"/>
                              </w:divBdr>
                              <w:divsChild>
                                <w:div w:id="1549760858">
                                  <w:marLeft w:val="0"/>
                                  <w:marRight w:val="0"/>
                                  <w:marTop w:val="0"/>
                                  <w:marBottom w:val="0"/>
                                  <w:divBdr>
                                    <w:top w:val="none" w:sz="0" w:space="0" w:color="auto"/>
                                    <w:left w:val="none" w:sz="0" w:space="0" w:color="auto"/>
                                    <w:bottom w:val="none" w:sz="0" w:space="0" w:color="auto"/>
                                    <w:right w:val="none" w:sz="0" w:space="0" w:color="auto"/>
                                  </w:divBdr>
                                  <w:divsChild>
                                    <w:div w:id="921724664">
                                      <w:marLeft w:val="0"/>
                                      <w:marRight w:val="0"/>
                                      <w:marTop w:val="0"/>
                                      <w:marBottom w:val="0"/>
                                      <w:divBdr>
                                        <w:top w:val="none" w:sz="0" w:space="0" w:color="auto"/>
                                        <w:left w:val="none" w:sz="0" w:space="0" w:color="auto"/>
                                        <w:bottom w:val="none" w:sz="0" w:space="0" w:color="auto"/>
                                        <w:right w:val="none" w:sz="0" w:space="0" w:color="auto"/>
                                      </w:divBdr>
                                      <w:divsChild>
                                        <w:div w:id="519781626">
                                          <w:marLeft w:val="120"/>
                                          <w:marRight w:val="0"/>
                                          <w:marTop w:val="0"/>
                                          <w:marBottom w:val="0"/>
                                          <w:divBdr>
                                            <w:top w:val="none" w:sz="0" w:space="0" w:color="auto"/>
                                            <w:left w:val="none" w:sz="0" w:space="0" w:color="auto"/>
                                            <w:bottom w:val="none" w:sz="0" w:space="0" w:color="auto"/>
                                            <w:right w:val="none" w:sz="0" w:space="0" w:color="auto"/>
                                          </w:divBdr>
                                        </w:div>
                                        <w:div w:id="1878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2020%20Census%20Enterprise%20Architecture%20and%20Infrastructure%20Transition%20Plan&amp;body=This%20plan%20documents%20the%20multi-year%20strategy%20for%20the%20Census%20IT%20evolution%20from%20the%202015%20Solution%20Architecture%20to%20the%202020%20Target%20Solution%20Architecture%20%0D%0Ahttp%3A%2F%2Fwww.census.gov%2Fprograms-surveys%2Fdecennial-census%2F2020-census%2Fplanning-management%2Fplanning-docs%2Fenterprise-arch-transition-pla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shareArticle?mini=true&amp;url=http%3A%2F%2Fwww.census.gov%2Fprograms-surveys%2Fdecennial-census%2F2020-census%2Fplanning-management%2Fplanning-docs%2Fenterprise-arch-transition-plan.html&amp;title=2020+Census+Enterprise+Architecture+and+Infrastructure+Transition+Plan&amp;source=www.census.gov" TargetMode="External"/><Relationship Id="rId12" Type="http://schemas.openxmlformats.org/officeDocument/2006/relationships/hyperlink" Target="http://www2.census.gov/programs-surveys/decennial/2020/program-management/planning-docs/2020-enterprise-arch-infrastructure-pl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sharer/sharer.php?u=http%3A%2F%2Fwww.census.gov%2Fprograms-surveys%2Fdecennial-census%2F2020-census%2Fplanning-management%2Fplanning-docs%2Fenterprise-arch-transition-plan.html" TargetMode="External"/><Relationship Id="rId11" Type="http://schemas.openxmlformats.org/officeDocument/2006/relationships/image" Target="media/image1.jpeg"/><Relationship Id="rId5" Type="http://schemas.openxmlformats.org/officeDocument/2006/relationships/hyperlink" Target="https://twitter.com/intent/tweet?url=http%3A%2F%2Fwww.census.gov%2Fprograms-surveys%2Fdecennial-census%2F2020-census%2Fplanning-management%2Fplanning-docs%2Fenterprise-arch-transition-plan.html&amp;text=This+plan+documents+the+multi-year+strategy+for+the+Census+IT+evolution+from+the+2015+Solution+Architecture+to+the+2020+Target+Solution+Architecture+" TargetMode="External"/><Relationship Id="rId10" Type="http://schemas.openxmlformats.org/officeDocument/2006/relationships/hyperlink" Target="http://www2.census.gov/programs-surveys/decennial/2020/program-management/planning-docs/2020-enterprise-arch-infrastructure-plan.pdf" TargetMode="External"/><Relationship Id="rId4" Type="http://schemas.openxmlformats.org/officeDocument/2006/relationships/webSettings" Target="webSettings.xml"/><Relationship Id="rId9" Type="http://schemas.openxmlformats.org/officeDocument/2006/relationships/hyperlink" Target="javascript:window.pr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Freeman</dc:creator>
  <cp:keywords/>
  <dc:description/>
  <cp:lastModifiedBy>Linus Freeman</cp:lastModifiedBy>
  <cp:revision>3</cp:revision>
  <dcterms:created xsi:type="dcterms:W3CDTF">2017-02-25T17:59:00Z</dcterms:created>
  <dcterms:modified xsi:type="dcterms:W3CDTF">2017-02-25T17:59:00Z</dcterms:modified>
</cp:coreProperties>
</file>