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Field</w:t>
      </w:r>
      <w:r>
        <w:t xml:space="preserve"> </w:t>
      </w:r>
      <w:r>
        <w:t xml:space="preserve">Guide</w:t>
      </w:r>
      <w:r>
        <w:t xml:space="preserve"> </w:t>
      </w:r>
      <w:r>
        <w:t xml:space="preserve">—</w:t>
      </w:r>
      <w:r>
        <w:t xml:space="preserve"> </w:t>
      </w:r>
      <w:r>
        <w:t xml:space="preserve">Front</w:t>
      </w:r>
      <w:r>
        <w:t xml:space="preserve"> </w:t>
      </w:r>
      <w:r>
        <w:t xml:space="preserve">Matter</w:t>
      </w:r>
      <w:r>
        <w:t xml:space="preserve"> </w:t>
      </w:r>
      <w:r>
        <w:t xml:space="preserve">and</w:t>
      </w:r>
      <w:r>
        <w:t xml:space="preserve"> </w:t>
      </w:r>
      <w:r>
        <w:t xml:space="preserve">Map</w:t>
      </w:r>
    </w:p>
    <w:p>
      <w:pPr>
        <w:pStyle w:val="Subtitle"/>
      </w:pPr>
      <w:r>
        <w:t xml:space="preserve">Appendix</w:t>
      </w:r>
      <w:r>
        <w:t xml:space="preserve"> </w:t>
      </w:r>
      <w:r>
        <w:t xml:space="preserve">A</w:t>
      </w:r>
      <w:r>
        <w:t xml:space="preserve"> </w:t>
      </w:r>
      <w:r>
        <w:t xml:space="preserve">·</w:t>
      </w:r>
      <w:r>
        <w:t xml:space="preserve"> </w:t>
      </w:r>
      <w:r>
        <w:t xml:space="preserve">Companion</w:t>
      </w:r>
      <w:r>
        <w:t xml:space="preserve"> </w:t>
      </w:r>
      <w:r>
        <w:t xml:space="preserve">to</w:t>
      </w:r>
      <w:r>
        <w:t xml:space="preserve"> </w:t>
      </w: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bookmarkStart w:id="21" w:name="what-this-volume-is"/>
    <w:p>
      <w:pPr>
        <w:pStyle w:val="Heading1"/>
      </w:pPr>
      <w:r>
        <w:t xml:space="preserve">What this volume is</w:t>
      </w:r>
    </w:p>
    <w:p>
      <w:pPr>
        <w:pStyle w:val="FirstParagraph"/>
      </w:pPr>
      <w:r>
        <w:rPr>
          <w:bCs/>
          <w:b/>
        </w:rPr>
        <w:t xml:space="preserve">This is a reference work, not a course.</w:t>
      </w:r>
      <w:r>
        <w:t xml:space="preserve"> </w:t>
      </w:r>
      <w:r>
        <w:t xml:space="preserve">Appendices A to F are one book with</w:t>
      </w:r>
      <w:r>
        <w:t xml:space="preserve"> </w:t>
      </w:r>
      <w:r>
        <w:t xml:space="preserve">six parts, and they answer a different question from the readers beside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four-week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do I do this week?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is the thing I have just run into called, and what does it cost?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Time-bound — five days, an exit gate, a defence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Unbounded. It grows as the field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against a seven-category rubric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with two named exceptions, §C.1 and §C.12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to back, once, in four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to front, repeatedly, for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Finished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capstone is defended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It is written from practice rather than from a syllabus.</w:t>
      </w:r>
      <w:r>
        <w:t xml:space="preserve"> </w:t>
      </w:r>
      <w:r>
        <w:t xml:space="preserve">Every</w:t>
      </w:r>
      <w:r>
        <w:t xml:space="preserve"> </w:t>
      </w:r>
      <w:r>
        <w:t xml:space="preserve">“</w:t>
      </w:r>
      <w:r>
        <w:t xml:space="preserve">what it</w:t>
      </w:r>
      <w:r>
        <w:t xml:space="preserve"> </w:t>
      </w:r>
      <w:r>
        <w:t xml:space="preserve">costs</w:t>
      </w:r>
      <w:r>
        <w:t xml:space="preserve">”</w:t>
      </w:r>
      <w:r>
        <w:t xml:space="preserve"> </w:t>
      </w:r>
      <w:r>
        <w:t xml:space="preserve">and every</w:t>
      </w:r>
      <w:r>
        <w:t xml:space="preserve"> </w:t>
      </w:r>
      <w:r>
        <w:t xml:space="preserve">“</w:t>
      </w:r>
      <w:r>
        <w:t xml:space="preserve">when not to</w:t>
      </w:r>
      <w:r>
        <w:t xml:space="preserve">”</w:t>
      </w:r>
      <w:r>
        <w:t xml:space="preserve"> </w:t>
      </w:r>
      <w:r>
        <w:t xml:space="preserve">in here is somebody’s expensive afternoon,</w:t>
      </w:r>
      <w:r>
        <w:t xml:space="preserve"> </w:t>
      </w:r>
      <w:r>
        <w:t xml:space="preserve">written down so it is only paid for once. That is why the entries are shaped</w:t>
      </w:r>
      <w:r>
        <w:t xml:space="preserve"> </w:t>
      </w:r>
      <w:r>
        <w:t xml:space="preserve">around</w:t>
      </w:r>
      <w:r>
        <w:t xml:space="preserve"> </w:t>
      </w:r>
      <w:r>
        <w:rPr>
          <w:iCs/>
          <w:i/>
        </w:rPr>
        <w:t xml:space="preserve">what goes wrong</w:t>
      </w:r>
      <w:r>
        <w:t xml:space="preserve"> </w:t>
      </w:r>
      <w:r>
        <w:t xml:space="preserve">rather than around what a tool does — a catalogue of</w:t>
      </w:r>
      <w:r>
        <w:t xml:space="preserve"> </w:t>
      </w:r>
      <w:r>
        <w:t xml:space="preserve">features is available from any vendor, and it is not what you need at 6pm on a</w:t>
      </w:r>
      <w:r>
        <w:t xml:space="preserve"> </w:t>
      </w:r>
      <w:r>
        <w:t xml:space="preserve">release day.</w:t>
      </w:r>
    </w:p>
    <w:p>
      <w:pPr>
        <w:pStyle w:val="BodyText"/>
      </w:pPr>
      <w:r>
        <w:rPr>
          <w:bCs/>
          <w:b/>
        </w:rPr>
        <w:t xml:space="preserve">You do not need the course to use it.</w:t>
      </w:r>
      <w:r>
        <w:t xml:space="preserve"> </w:t>
      </w:r>
      <w:r>
        <w:t xml:space="preserve">Nothing here assumes you attended,</w:t>
      </w:r>
      <w:r>
        <w:t xml:space="preserve"> </w:t>
      </w:r>
      <w:r>
        <w:t xml:space="preserve">and an engineer handed this volume alone gets a working reference. The</w:t>
      </w:r>
      <w:r>
        <w:t xml:space="preserve"> </w:t>
      </w:r>
      <w:r>
        <w:t xml:space="preserve">cross-references into the readers are provenance —</w:t>
      </w:r>
      <w:r>
        <w:t xml:space="preserve"> </w:t>
      </w:r>
      <w:r>
        <w:rPr>
          <w:iCs/>
          <w:i/>
        </w:rPr>
        <w:t xml:space="preserve">this is where the program</w:t>
      </w:r>
      <w:r>
        <w:rPr>
          <w:iCs/>
          <w:i/>
        </w:rPr>
        <w:t xml:space="preserve"> </w:t>
      </w:r>
      <w:r>
        <w:rPr>
          <w:iCs/>
          <w:i/>
        </w:rPr>
        <w:t xml:space="preserve">teaches it</w:t>
      </w:r>
      <w:r>
        <w:t xml:space="preserve"> </w:t>
      </w:r>
      <w:r>
        <w:t xml:space="preserve">— not prerequisites.</w:t>
      </w:r>
    </w:p>
    <w:p>
      <w:pPr>
        <w:pStyle w:val="BlockText"/>
      </w:pPr>
      <w:r>
        <w:rPr>
          <w:bCs/>
          <w:b/>
        </w:rPr>
        <w:t xml:space="preserve">It is deliberately opinionated, and it argues with itself.</w:t>
      </w:r>
      <w:r>
        <w:t xml:space="preserve"> </w:t>
      </w:r>
      <w:r>
        <w:t xml:space="preserve">Appendix B</w:t>
      </w:r>
      <w:r>
        <w:t xml:space="preserve"> </w:t>
      </w:r>
      <w:r>
        <w:t xml:space="preserve">gives every principle its honest limit. Appendix E gives every pattern its</w:t>
      </w:r>
      <w:r>
        <w:t xml:space="preserve"> </w:t>
      </w:r>
      <w:r>
        <w:t xml:space="preserve">cost and the condition under which it is the wrong choice. Appendix C names</w:t>
      </w:r>
      <w:r>
        <w:t xml:space="preserve"> </w:t>
      </w:r>
      <w:r>
        <w:t xml:space="preserve">what each tool cannot see. A reference that only lists benefits produces</w:t>
      </w:r>
      <w:r>
        <w:t xml:space="preserve"> </w:t>
      </w:r>
      <w:r>
        <w:t xml:space="preserve">engineers who apply things by reflex, which is the failure this whole volume</w:t>
      </w:r>
      <w:r>
        <w:t xml:space="preserve"> </w:t>
      </w:r>
      <w:r>
        <w:t xml:space="preserve">is written against.</w:t>
      </w:r>
    </w:p>
    <w:bookmarkStart w:id="20" w:name="the-six-parts"/>
    <w:p>
      <w:pPr>
        <w:pStyle w:val="Heading2"/>
      </w:pPr>
      <w:r>
        <w:t xml:space="preserve">The six parts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Front matter and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volume is, and which part answers your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and Clean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principles as before-and-after pairs, in four languages, each with its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Cookbook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 tool categories, comparison tables, what each tool is bad at — plus §C.13, running all of it with no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Objects, and What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an object, an interface and a value</w:t>
            </w:r>
            <w:r>
              <w:t xml:space="preserve"> </w:t>
            </w:r>
            <w:r>
              <w:rPr>
                <w:iCs/>
                <w:i/>
              </w:rPr>
              <w:t xml:space="preserve">are</w:t>
            </w:r>
            <w:r>
              <w:t xml:space="preserve">. Readable by somebody who cannot yet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Twenty-one patterns in four languages, each with its cost and its</w:t>
            </w:r>
            <w:r>
              <w:t xml:space="preserve"> </w:t>
            </w:r>
            <w:r>
              <w:t xml:space="preserve">“</w:t>
            </w:r>
            <w:r>
              <w:t xml:space="preserve">when not 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codes, streams, quoting,</w:t>
            </w:r>
            <w:r>
              <w:t xml:space="preserve"> </w:t>
            </w:r>
            <w:r>
              <w:rPr>
                <w:rStyle w:val="VerbatimChar"/>
              </w:rPr>
              <w:t xml:space="preserve">pipefail</w:t>
            </w:r>
            <w:r>
              <w:t xml:space="preserve"> </w:t>
            </w:r>
            <w:r>
              <w:t xml:space="preserve">— the machine everything else runs 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Roughly 35,000 words, none of it on the clock.</w:t>
      </w:r>
      <w:r>
        <w:t xml:space="preserve"> </w:t>
      </w:r>
      <w:r>
        <w:t xml:space="preserve">Two sections of Appendix C</w:t>
      </w:r>
      <w:r>
        <w:t xml:space="preserve"> </w:t>
      </w:r>
      <w:r>
        <w:t xml:space="preserve">are the exception and §A.2 says which.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y-this-front-matter-exists"/>
    <w:p>
      <w:pPr>
        <w:pStyle w:val="Heading1"/>
      </w:pPr>
      <w:r>
        <w:t xml:space="preserve">Why this front matter exists</w:t>
      </w:r>
    </w:p>
    <w:p>
      <w:pPr>
        <w:pStyle w:val="FirstParagraph"/>
      </w:pPr>
      <w:r>
        <w:t xml:space="preserve">There are five reference appendices behind this one, they overlap deliberately,</w:t>
      </w:r>
      <w:r>
        <w:t xml:space="preserve"> </w:t>
      </w:r>
      <w:r>
        <w:t xml:space="preserve">and which one you want depends on a question you may not have phrased yet. This</w:t>
      </w:r>
      <w:r>
        <w:t xml:space="preserve"> </w:t>
      </w:r>
      <w:r>
        <w:t xml:space="preserve">is two pages that route you to the right one.</w:t>
      </w:r>
    </w:p>
    <w:p>
      <w:pPr>
        <w:pStyle w:val="BodyText"/>
      </w:pPr>
      <w:r>
        <w:t xml:space="preserve">It also settles a confusion the pack has caused before: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Appendix B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 two</w:t>
      </w:r>
      <w:r>
        <w:rPr>
          <w:bCs/>
          <w:b/>
        </w:rPr>
        <w:t xml:space="preserve"> </w:t>
      </w:r>
      <w:r>
        <w:rPr>
          <w:bCs/>
          <w:b/>
        </w:rPr>
        <w:t xml:space="preserve">different documents depending on where you are standing.</w:t>
      </w:r>
      <w:r>
        <w:t xml:space="preserve"> </w:t>
      </w:r>
      <w:r>
        <w:t xml:space="preserve">That is dealt with in</w:t>
      </w:r>
      <w:r>
        <w:t xml:space="preserve"> </w:t>
      </w:r>
      <w:r>
        <w:t xml:space="preserve">§A.4, and it is worth reading once even if you skip the rest.</w:t>
      </w:r>
    </w:p>
    <w:p>
      <w:r>
        <w:pict>
          <v:rect style="width:0;height:1.5pt" o:hralign="center" o:hrstd="t" o:hr="t"/>
        </w:pict>
      </w:r>
    </w:p>
    <w:bookmarkEnd w:id="22"/>
    <w:bookmarkStart w:id="23" w:name="a.1-the-one-line-answer"/>
    <w:p>
      <w:pPr>
        <w:pStyle w:val="Heading1"/>
      </w:pPr>
      <w:r>
        <w:t xml:space="preserve">A.1 The one-line answer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your question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What even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 object, an interface, a value?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should 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arrange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classes I can already write?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 have to pick a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tool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and I have never used any of them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There is a named shape for this, isn’t there? What is it called?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Why did my pipeline stage pass when the test failed?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My network cannot reach GitHub, Sonar or Snyk. Now what?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C §C.13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What does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set -euo pipefail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/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2&gt;&amp;1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/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${VAR:?}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actually do?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 have joined a project with no automation.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Where do I start?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C §C.1</w:t>
            </w:r>
          </w:p>
        </w:tc>
      </w:tr>
    </w:tbl>
    <w:p>
      <w:pPr>
        <w:pStyle w:val="BodyText"/>
      </w:pPr>
      <w:r>
        <w:rPr>
          <w:bCs/>
          <w:b/>
        </w:rPr>
        <w:t xml:space="preserve">If more than one applies, that is the order to read them in: F, then D, then</w:t>
      </w:r>
      <w:r>
        <w:rPr>
          <w:bCs/>
          <w:b/>
        </w:rPr>
        <w:t xml:space="preserve"> </w:t>
      </w:r>
      <w:r>
        <w:rPr>
          <w:bCs/>
          <w:b/>
        </w:rPr>
        <w:t xml:space="preserve">B, then E, then C.</w:t>
      </w:r>
      <w:r>
        <w:t xml:space="preserve"> </w:t>
      </w:r>
      <w:r>
        <w:t xml:space="preserve">F comes first because it is the only one that is not about</w:t>
      </w:r>
      <w:r>
        <w:t xml:space="preserve"> </w:t>
      </w:r>
      <w:r>
        <w:t xml:space="preserve">code at all — it is about the machine everything else runs on, and a learner who</w:t>
      </w:r>
      <w:r>
        <w:t xml:space="preserve"> </w:t>
      </w:r>
      <w:r>
        <w:t xml:space="preserve">cannot read a CI log is blocked in a way none of the others fix. Each assumes the one before it — E in particular is unreadable</w:t>
      </w:r>
      <w:r>
        <w:t xml:space="preserve"> </w:t>
      </w:r>
      <w:r>
        <w:t xml:space="preserve">without B, because every pattern in it is one of the five principles made</w:t>
      </w:r>
      <w:r>
        <w:t xml:space="preserve"> </w:t>
      </w:r>
      <w:r>
        <w:t xml:space="preserve">concrete.</w:t>
      </w:r>
    </w:p>
    <w:p>
      <w:r>
        <w:pict>
          <v:rect style="width:0;height:1.5pt" o:hralign="center" o:hrstd="t" o:hr="t"/>
        </w:pict>
      </w:r>
    </w:p>
    <w:bookmarkEnd w:id="23"/>
    <w:bookmarkStart w:id="29" w:name="a.2-the-five-in-more-detail"/>
    <w:p>
      <w:pPr>
        <w:pStyle w:val="Heading1"/>
      </w:pPr>
      <w:r>
        <w:t xml:space="preserve">A.2 The five, in more detail</w:t>
      </w:r>
    </w:p>
    <w:bookmarkStart w:id="24" w:name="appendix-d-objects-and-what-transfers"/>
    <w:p>
      <w:pPr>
        <w:pStyle w:val="Heading2"/>
      </w:pPr>
      <w:r>
        <w:t xml:space="preserve">Appendix D — Objects, and What Transfers</w:t>
      </w:r>
    </w:p>
    <w:p>
      <w:pPr>
        <w:pStyle w:val="FirstParagraph"/>
      </w:pPr>
      <w:r>
        <w:rPr>
          <w:bCs/>
          <w:b/>
        </w:rPr>
        <w:t xml:space="preserve">Concepts, in four languages.</w:t>
      </w:r>
      <w:r>
        <w:t xml:space="preserve"> </w:t>
      </w:r>
      <w:r>
        <w:t xml:space="preserve">Six ideas — objects, encapsulation, interfaces</w:t>
      </w:r>
      <w:r>
        <w:t xml:space="preserve"> </w:t>
      </w:r>
      <w:r>
        <w:t xml:space="preserve">as contracts, polymorphism, composition versus inheritance, value versus</w:t>
      </w:r>
      <w:r>
        <w:t xml:space="preserve"> </w:t>
      </w:r>
      <w:r>
        <w:t xml:space="preserve">identity — each explained in plain prose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code, then shown in Java,</w:t>
      </w:r>
      <w:r>
        <w:t xml:space="preserve"> </w:t>
      </w:r>
      <w:r>
        <w:t xml:space="preserve">Python, C# and C++.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Nothing. It is written to be read by somebody who cannot yet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Pairs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Foundation module</w:t>
            </w:r>
            <w:r>
              <w:t xml:space="preserve">, F1–F5. Each section names the F-week that meets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Reference, and the natural first read for anybody new to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it 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 follow a Java example but could not explain to somebody else what an interface is</w:t>
            </w:r>
            <w:r>
              <w:t xml:space="preserve"> </w:t>
            </w:r>
            <w:r>
              <w:rPr>
                <w:iCs/>
                <w:i/>
              </w:rPr>
              <w:t xml:space="preserve">for</w:t>
            </w:r>
          </w:p>
        </w:tc>
      </w:tr>
    </w:tbl>
    <w:p>
      <w:pPr>
        <w:pStyle w:val="BodyText"/>
      </w:pPr>
      <w:r>
        <w:t xml:space="preserve">Its argument is that the concept survives the language and the syntax does not,</w:t>
      </w:r>
      <w:r>
        <w:t xml:space="preserve"> </w:t>
      </w:r>
      <w:r>
        <w:t xml:space="preserve">so learning the concept is what you actually keep.</w:t>
      </w:r>
    </w:p>
    <w:bookmarkEnd w:id="24"/>
    <w:bookmarkStart w:id="25" w:name="X9f94e99e1d15353f658e34af9b13c66c69e2e46"/>
    <w:p>
      <w:pPr>
        <w:pStyle w:val="Heading2"/>
      </w:pPr>
      <w:r>
        <w:t xml:space="preserve">Appendix B — SOLID and Clean Code in Four Languages</w:t>
      </w:r>
    </w:p>
    <w:p>
      <w:pPr>
        <w:pStyle w:val="FirstParagraph"/>
      </w:pPr>
      <w:r>
        <w:rPr>
          <w:bCs/>
          <w:b/>
        </w:rPr>
        <w:t xml:space="preserve">Principles, as before-and-after pairs.</w:t>
      </w:r>
      <w:r>
        <w:t xml:space="preserve"> </w:t>
      </w:r>
      <w:r>
        <w:t xml:space="preserve">The five SOLID principles and the</w:t>
      </w:r>
      <w:r>
        <w:t xml:space="preserve"> </w:t>
      </w:r>
      <w:r>
        <w:t xml:space="preserve">common Clean Code patterns, each shown as the smell first and the improvement</w:t>
      </w:r>
      <w:r>
        <w:t xml:space="preserve"> </w:t>
      </w:r>
      <w:r>
        <w:t xml:space="preserve">second, in all four languages.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know what a class and an interface are — Appendix D if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Pairs with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1 Day 1’s</w:t>
            </w:r>
            <w:r>
              <w:t xml:space="preserve"> </w:t>
            </w:r>
            <w:r>
              <w:t xml:space="preserve">Clean Code primer and live refactor, and</w:t>
            </w:r>
            <w:r>
              <w:t xml:space="preserve"> </w:t>
            </w:r>
            <w:r>
              <w:rPr>
                <w:bCs/>
                <w:b/>
              </w:rPr>
              <w:t xml:space="preserve">Week 2 Day 3’s</w:t>
            </w:r>
            <w:r>
              <w:t xml:space="preserve"> </w:t>
            </w:r>
            <w:r>
              <w:t xml:space="preserve">framework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it 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about to refactor something and want the argument for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, not just the shape</w:t>
            </w:r>
          </w:p>
        </w:tc>
      </w:tr>
    </w:tbl>
    <w:p>
      <w:pPr>
        <w:pStyle w:val="BodyText"/>
      </w:pPr>
      <w:r>
        <w:rPr>
          <w:bCs/>
          <w:b/>
        </w:rPr>
        <w:t xml:space="preserve">It is deliberately argumentative rather than declarative.</w:t>
      </w:r>
      <w:r>
        <w:t xml:space="preserve"> </w:t>
      </w:r>
      <w:r>
        <w:t xml:space="preserve">Every principle</w:t>
      </w:r>
      <w:r>
        <w:t xml:space="preserve"> </w:t>
      </w:r>
      <w:r>
        <w:t xml:space="preserve">comes with its honest limit — where applying it makes things worse — because a</w:t>
      </w:r>
      <w:r>
        <w:t xml:space="preserve"> </w:t>
      </w:r>
      <w:r>
        <w:t xml:space="preserve">principle you cannot argue against is one you will apply where it does not fit.</w:t>
      </w:r>
    </w:p>
    <w:bookmarkEnd w:id="25"/>
    <w:bookmarkStart w:id="26" w:name="Xf7d8fe89199a505a29d95ed4b8b3cf8881ee6d8"/>
    <w:p>
      <w:pPr>
        <w:pStyle w:val="Heading2"/>
      </w:pPr>
      <w:r>
        <w:t xml:space="preserve">Appendix E — Design Patterns in Four Languages</w:t>
      </w:r>
    </w:p>
    <w:p>
      <w:pPr>
        <w:pStyle w:val="FirstParagraph"/>
      </w:pPr>
      <w:r>
        <w:rPr>
          <w:bCs/>
          <w:b/>
        </w:rPr>
        <w:t xml:space="preserve">Named shapes, as before-and-after pairs.</w:t>
      </w:r>
      <w:r>
        <w:t xml:space="preserve"> </w:t>
      </w:r>
      <w:r>
        <w:t xml:space="preserve">Twenty-one patterns — sixteen Gang</w:t>
      </w:r>
      <w:r>
        <w:t xml:space="preserve"> </w:t>
      </w:r>
      <w:r>
        <w:t xml:space="preserve">of Four and five that grew up inside test automation — each with the problem it</w:t>
      </w:r>
      <w:r>
        <w:t xml:space="preserve"> </w:t>
      </w:r>
      <w:r>
        <w:t xml:space="preserve">solves, working code in all four languages,</w:t>
      </w:r>
      <w:r>
        <w:t xml:space="preserve"> </w:t>
      </w:r>
      <w:r>
        <w:rPr>
          <w:bCs/>
          <w:b/>
        </w:rPr>
        <w:t xml:space="preserve">the cost it charges you</w:t>
      </w:r>
      <w:r>
        <w:t xml:space="preserve">, and the</w:t>
      </w:r>
      <w:r>
        <w:t xml:space="preserve"> </w:t>
      </w:r>
      <w:r>
        <w:t xml:space="preserve">condition under which it is the wrong choice.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SOLID. Read Appendix B first — every pattern here is one of those five principles made concrete, and a pattern learned without its principle is a shape you copy rather than a decision you 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Pairs with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1 §4.9</w:t>
            </w:r>
            <w:r>
              <w:t xml:space="preserve">, which teaches what a pattern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, and</w:t>
            </w:r>
            <w:r>
              <w:t xml:space="preserve"> </w:t>
            </w:r>
            <w:r>
              <w:rPr>
                <w:bCs/>
                <w:b/>
              </w:rPr>
              <w:t xml:space="preserve">Week 2 §3.5</w:t>
            </w:r>
            <w:r>
              <w:t xml:space="preserve">, which builds five of them into your framework. Taught in two weeks on purpose: vocabulary first, application when there is a framework to apply it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it 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a symptom —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 restyle broke forty tests</w:t>
            </w:r>
            <w:r>
              <w:rPr>
                <w:iCs/>
                <w:i/>
              </w:rP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this call has nine arguments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— and suspect it has a name. §E.8 is a table that goes symptom-first</w:t>
            </w:r>
          </w:p>
        </w:tc>
      </w:tr>
    </w:tbl>
    <w:p>
      <w:pPr>
        <w:pStyle w:val="BodyText"/>
      </w:pPr>
      <w:r>
        <w:rPr>
          <w:bCs/>
          <w:b/>
        </w:rPr>
        <w:t xml:space="preserve">Its organising claim is that every pattern has a cost</w:t>
      </w:r>
      <w:r>
        <w:t xml:space="preserve">, and that most</w:t>
      </w:r>
      <w:r>
        <w:t xml:space="preserve"> </w:t>
      </w:r>
      <w:r>
        <w:t xml:space="preserve">catalogues omit it — which is how a two-line function acquires a factory, an</w:t>
      </w:r>
      <w:r>
        <w:t xml:space="preserve"> </w:t>
      </w:r>
      <w:r>
        <w:t xml:space="preserve">interface and a configuration file. Each entry states what the pattern charges</w:t>
      </w:r>
      <w:r>
        <w:t xml:space="preserve"> </w:t>
      </w:r>
      <w:r>
        <w:t xml:space="preserve">and when not to pay it, including §E.7’s four anti-patterns and the one that</w:t>
      </w:r>
      <w:r>
        <w:t xml:space="preserve"> </w:t>
      </w:r>
      <w:r>
        <w:t xml:space="preserve">should have a name and does not.</w:t>
      </w:r>
    </w:p>
    <w:bookmarkEnd w:id="26"/>
    <w:bookmarkStart w:id="27" w:name="X8f331b75c6067539d8fca34465968e1145004a9"/>
    <w:p>
      <w:pPr>
        <w:pStyle w:val="Heading2"/>
      </w:pPr>
      <w:r>
        <w:t xml:space="preserve">Appendix F — The Command Line, and What a Pipeline Actually Runs</w:t>
      </w:r>
    </w:p>
    <w:p>
      <w:pPr>
        <w:pStyle w:val="FirstParagraph"/>
      </w:pPr>
      <w:r>
        <w:rPr>
          <w:bCs/>
          <w:b/>
        </w:rPr>
        <w:t xml:space="preserve">The machine, not the code.</w:t>
      </w:r>
      <w:r>
        <w:t xml:space="preserve"> </w:t>
      </w:r>
      <w:r>
        <w:t xml:space="preserve">Streams and redirection, exit codes, pipes and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, quoting and word splitting, environment variables, the text tools,</w:t>
      </w:r>
      <w:r>
        <w:t xml:space="preserve"> </w:t>
      </w:r>
      <w:r>
        <w:t xml:space="preserve">processes and signals, line endings, and what differs between Linux, macOS and</w:t>
      </w:r>
      <w:r>
        <w:t xml:space="preserve"> </w:t>
      </w:r>
      <w:r>
        <w:t xml:space="preserve">Git Bash on Windows.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Nothing. It starts at</w:t>
            </w:r>
            <w:r>
              <w:t xml:space="preserve"> </w:t>
            </w:r>
            <w:r>
              <w:t xml:space="preserve">“</w:t>
            </w:r>
            <w:r>
              <w:t xml:space="preserve">everything is a stream of bytes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zero means success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Pairs with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0 §0.3</w:t>
            </w:r>
            <w:r>
              <w:t xml:space="preserve">, self-paced before Day 1, which covers §F.1–§F.5; and</w:t>
            </w:r>
            <w:r>
              <w:t xml:space="preserve"> </w:t>
            </w:r>
            <w:r>
              <w:rPr>
                <w:bCs/>
                <w:b/>
              </w:rPr>
              <w:t xml:space="preserve">Week 2 Day 5 §5.4A</w:t>
            </w:r>
            <w:r>
              <w:t xml:space="preserve">, taught in the room, which covers §F.6–§F.9 on the day the pipeline is the 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Reference. §F.15 is twelve lines and is the version to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it 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stage went green when it should have gone red, a script</w:t>
            </w:r>
            <w:r>
              <w:t xml:space="preserve"> </w:t>
            </w:r>
            <w:r>
              <w:t xml:space="preserve">“</w:t>
            </w:r>
            <w:r>
              <w:t xml:space="preserve">does not exist</w:t>
            </w:r>
            <w:r>
              <w:t xml:space="preserve">”</w:t>
            </w:r>
            <w:r>
              <w:t xml:space="preserve"> </w:t>
            </w:r>
            <w:r>
              <w:t xml:space="preserve">when you can plainly see it, or something works locally and fails in CI</w:t>
            </w:r>
          </w:p>
        </w:tc>
      </w:tr>
    </w:tbl>
    <w:p>
      <w:pPr>
        <w:pStyle w:val="BodyText"/>
      </w:pPr>
      <w:r>
        <w:rPr>
          <w:bCs/>
          <w:b/>
        </w:rPr>
        <w:t xml:space="preserve">Its organising claim is that every CI pipeline is a shell script in a YAML</w:t>
      </w:r>
      <w:r>
        <w:rPr>
          <w:bCs/>
          <w:b/>
        </w:rPr>
        <w:t xml:space="preserve"> </w:t>
      </w:r>
      <w:r>
        <w:rPr>
          <w:bCs/>
          <w:b/>
        </w:rPr>
        <w:t xml:space="preserve">wrapper.</w:t>
      </w:r>
      <w:r>
        <w:t xml:space="preserve"> </w:t>
      </w:r>
      <w:r>
        <w:t xml:space="preserve">The YAML decides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something runs; the shell decides</w:t>
      </w:r>
      <w:r>
        <w:t xml:space="preserve"> </w:t>
      </w:r>
      <w:r>
        <w:rPr>
          <w:iCs/>
          <w:i/>
        </w:rPr>
        <w:t xml:space="preserve">whether it</w:t>
      </w:r>
      <w:r>
        <w:rPr>
          <w:iCs/>
          <w:i/>
        </w:rPr>
        <w:t xml:space="preserve"> </w:t>
      </w:r>
      <w:r>
        <w:rPr>
          <w:iCs/>
          <w:i/>
        </w:rPr>
        <w:t xml:space="preserve">passed</w:t>
      </w:r>
      <w:r>
        <w:t xml:space="preserve">. §F.14 walks the starter’s own coverage gate line by line and shows six</w:t>
      </w:r>
      <w:r>
        <w:t xml:space="preserve"> </w:t>
      </w:r>
      <w:r>
        <w:t xml:space="preserve">of the appendix’s nine core sections inside fifteen lines of it.</w:t>
      </w:r>
    </w:p>
    <w:bookmarkEnd w:id="27"/>
    <w:bookmarkStart w:id="28" w:name="appendix-c-the-tool-cookbook"/>
    <w:p>
      <w:pPr>
        <w:pStyle w:val="Heading2"/>
      </w:pPr>
      <w:r>
        <w:t xml:space="preserve">Appendix C — The Tool Cookbook</w:t>
      </w:r>
    </w:p>
    <w:p>
      <w:pPr>
        <w:pStyle w:val="FirstParagraph"/>
      </w:pPr>
      <w:r>
        <w:rPr>
          <w:bCs/>
          <w:b/>
        </w:rPr>
        <w:t xml:space="preserve">Categories, not products.</w:t>
      </w:r>
      <w:r>
        <w:t xml:space="preserve"> </w:t>
      </w:r>
      <w:r>
        <w:t xml:space="preserve">Nine tool categories — §C.2 to §C.10 — each with what the category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for</w:t>
      </w:r>
      <w:r>
        <w:t xml:space="preserve">, a comparison table, runnable examples in the main contenders, what</w:t>
      </w:r>
      <w:r>
        <w:t xml:space="preserve"> </w:t>
      </w:r>
      <w:r>
        <w:t xml:space="preserve">each tool is bad at, and what transfers to the next one.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 read code in at least one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Pairs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week. Week 3 leans on it hardest — three new tool families in five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§C.1 and §C.12 are taught and assessed.</w:t>
            </w:r>
            <w:r>
              <w:t xml:space="preserve"> </w:t>
            </w:r>
            <w:r>
              <w:t xml:space="preserve">Everything between them is reference, including</w:t>
            </w:r>
            <w:r>
              <w:t xml:space="preserve"> </w:t>
            </w:r>
            <w:r>
              <w:rPr>
                <w:bCs/>
                <w:b/>
              </w:rPr>
              <w:t xml:space="preserve">§C.13</w:t>
            </w:r>
            <w:r>
              <w:t xml:space="preserve">, the disconnected and air-gapped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it 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need to choose, configure or defend a tool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two sections that are not optional.</w:t>
      </w:r>
      <w:r>
        <w:t xml:space="preserve"> </w:t>
      </w:r>
      <w:r>
        <w:t xml:space="preserve">§C.1 —</w:t>
      </w:r>
      <w:r>
        <w:t xml:space="preserve"> </w:t>
      </w:r>
      <w:r>
        <w:rPr>
          <w:iCs/>
          <w:i/>
        </w:rPr>
        <w:t xml:space="preserve">the order you automate a</w:t>
      </w:r>
      <w:r>
        <w:rPr>
          <w:iCs/>
          <w:i/>
        </w:rPr>
        <w:t xml:space="preserve"> </w:t>
      </w:r>
      <w:r>
        <w:rPr>
          <w:iCs/>
          <w:i/>
        </w:rPr>
        <w:t xml:space="preserve">project in, from nothing</w:t>
      </w:r>
      <w:r>
        <w:t xml:space="preserve"> </w:t>
      </w:r>
      <w:r>
        <w:t xml:space="preserve">— is taught on</w:t>
      </w:r>
      <w:r>
        <w:t xml:space="preserve"> </w:t>
      </w:r>
      <w:r>
        <w:rPr>
          <w:bCs/>
          <w:b/>
        </w:rPr>
        <w:t xml:space="preserve">Week 1 Day 1</w:t>
      </w:r>
      <w:r>
        <w:t xml:space="preserve">, before the System</w:t>
      </w:r>
      <w:r>
        <w:t xml:space="preserve"> </w:t>
      </w:r>
      <w:r>
        <w:t xml:space="preserve">Under Test is chosen. §C.12 —</w:t>
      </w:r>
      <w:r>
        <w:t xml:space="preserve"> </w:t>
      </w:r>
      <w:r>
        <w:rPr>
          <w:iCs/>
          <w:i/>
        </w:rPr>
        <w:t xml:space="preserve">how to pick up a tool you have never used</w:t>
      </w:r>
      <w:r>
        <w:t xml:space="preserve"> </w:t>
      </w:r>
      <w:r>
        <w:t xml:space="preserve">— is</w:t>
      </w:r>
      <w:r>
        <w:t xml:space="preserve"> </w:t>
      </w:r>
      <w:r>
        <w:t xml:space="preserve">taught on</w:t>
      </w:r>
      <w:r>
        <w:t xml:space="preserve"> </w:t>
      </w:r>
      <w:r>
        <w:rPr>
          <w:bCs/>
          <w:b/>
        </w:rPr>
        <w:t xml:space="preserve">Week 2 Day 4</w:t>
      </w:r>
      <w:r>
        <w:t xml:space="preserve">. Both are assessed under</w:t>
      </w:r>
      <w:r>
        <w:t xml:space="preserve"> </w:t>
      </w:r>
      <w:r>
        <w:rPr>
          <w:bCs/>
          <w:b/>
        </w:rPr>
        <w:t xml:space="preserve">Transferable judgement</w:t>
      </w:r>
      <w:r>
        <w:t xml:space="preserve">,</w:t>
      </w:r>
      <w:r>
        <w:t xml:space="preserve"> </w:t>
      </w:r>
      <w:r>
        <w:t xml:space="preserve">which is 10% of the final mark. They are the program’s stated goal written</w:t>
      </w:r>
      <w:r>
        <w:t xml:space="preserve"> </w:t>
      </w:r>
      <w:r>
        <w:t xml:space="preserve">down, and they were filed as optional reading for far too long.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.3-how-they-fit-together"/>
    <w:p>
      <w:pPr>
        <w:pStyle w:val="Heading1"/>
      </w:pPr>
      <w:r>
        <w:t xml:space="preserve">A.3 How they fit together</w:t>
      </w:r>
    </w:p>
    <w:p>
      <w:pPr>
        <w:pStyle w:val="FirstParagraph"/>
      </w:pPr>
      <w:r>
        <w:t xml:space="preserve">They are five cuts of the same question at five altitudes: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running all of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process, a stream, an exit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pieces?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concept — an object, an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I arrange the pieces?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principle — SRP, dependency inversion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arrangements called?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pattern — Strategy, Adapter, Page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I build the pieces</w:t>
            </w:r>
            <w:r>
              <w:t xml:space="preserve"> </w:t>
            </w:r>
            <w:r>
              <w:rPr>
                <w:iCs/>
                <w:i/>
              </w:rPr>
              <w:t xml:space="preserve">with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category — browser automation, SAST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same argument runs through all five</w:t>
      </w:r>
      <w:r>
        <w:t xml:space="preserve">, and it is the argument the program</w:t>
      </w:r>
      <w:r>
        <w:t xml:space="preserve"> </w:t>
      </w:r>
      <w:r>
        <w:t xml:space="preserve">is built on:</w:t>
      </w:r>
      <w:r>
        <w:t xml:space="preserve"> </w:t>
      </w:r>
      <w:r>
        <w:rPr>
          <w:iCs/>
          <w:i/>
        </w:rPr>
        <w:t xml:space="preserve">learn the thing that transfers.</w:t>
      </w:r>
      <w:r>
        <w:t xml:space="preserve"> </w:t>
      </w:r>
      <w:r>
        <w:t xml:space="preserve">F says learn the model rather than</w:t>
      </w:r>
      <w:r>
        <w:t xml:space="preserve"> </w:t>
      </w:r>
      <w:r>
        <w:t xml:space="preserve">the tool — exit codes and streams are how Jenkins, GitLab, a Makefile and a cron</w:t>
      </w:r>
      <w:r>
        <w:t xml:space="preserve"> </w:t>
      </w:r>
      <w:r>
        <w:t xml:space="preserve">job all work. D says learn the concept rather than the syntax. B says learn the principle rather than the rule. E says learn</w:t>
      </w:r>
      <w:r>
        <w:t xml:space="preserve"> </w:t>
      </w:r>
      <w:r>
        <w:t xml:space="preserve">the trade rather than the shape. C says learn the category rather than the</w:t>
      </w:r>
      <w:r>
        <w:t xml:space="preserve"> </w:t>
      </w:r>
      <w:r>
        <w:t xml:space="preserve">product. A tool you know will be replaced; a category you understand will not.</w:t>
      </w:r>
    </w:p>
    <w:p>
      <w:pPr>
        <w:pStyle w:val="BodyText"/>
      </w:pPr>
      <w:r>
        <w:rPr>
          <w:bCs/>
          <w:b/>
        </w:rPr>
        <w:t xml:space="preserve">B and E are the closest pair, and the difference is worth stating.</w:t>
      </w:r>
      <w:r>
        <w:t xml:space="preserve"> </w:t>
      </w:r>
      <w:r>
        <w:t xml:space="preserve">B gives</w:t>
      </w:r>
      <w:r>
        <w:t xml:space="preserve"> </w:t>
      </w:r>
      <w:r>
        <w:t xml:space="preserve">you a principle and an argument for it; E gives you a name and a price. You can</w:t>
      </w:r>
      <w:r>
        <w:t xml:space="preserve"> </w:t>
      </w:r>
      <w:r>
        <w:t xml:space="preserve">follow SRP without knowing the word</w:t>
      </w:r>
      <w:r>
        <w:t xml:space="preserve"> </w:t>
      </w:r>
      <w:r>
        <w:t xml:space="preserve">“</w:t>
      </w:r>
      <w:r>
        <w:t xml:space="preserve">facade</w:t>
      </w:r>
      <w:r>
        <w:t xml:space="preserve">”</w:t>
      </w:r>
      <w:r>
        <w:t xml:space="preserve">, and you will be slower to explain</w:t>
      </w:r>
      <w:r>
        <w:t xml:space="preserve"> </w:t>
      </w:r>
      <w:r>
        <w:t xml:space="preserve">what you did. You cannot usefully apply the facade pattern without SRP, because</w:t>
      </w:r>
      <w:r>
        <w:t xml:space="preserve"> </w:t>
      </w:r>
      <w:r>
        <w:t xml:space="preserve">nothing else tells you where to stop.</w:t>
      </w:r>
    </w:p>
    <w:p>
      <w:pPr>
        <w:pStyle w:val="BodyText"/>
      </w:pPr>
      <w:r>
        <w:rPr>
          <w:bCs/>
          <w:b/>
        </w:rPr>
        <w:t xml:space="preserve">Where they overlap on purpose.</w:t>
      </w:r>
      <w:r>
        <w:t xml:space="preserve"> </w:t>
      </w:r>
      <w:r>
        <w:t xml:space="preserve">Appendix D §D.3 explains what an interface</w:t>
      </w:r>
      <w:r>
        <w:t xml:space="preserve"> </w:t>
      </w:r>
      <w:r>
        <w:t xml:space="preserve">is; Appendix B §B.4 and §B.5 argue about how to size and depend on one. That is</w:t>
      </w:r>
      <w:r>
        <w:t xml:space="preserve"> </w:t>
      </w:r>
      <w:r>
        <w:t xml:space="preserve">the same idea met twice, deliberately — once to understand it and once to have a</w:t>
      </w:r>
      <w:r>
        <w:t xml:space="preserve"> </w:t>
      </w:r>
      <w:r>
        <w:t xml:space="preserve">position on it. If B reads as obvious, D did its job.</w:t>
      </w:r>
    </w:p>
    <w:p>
      <w:r>
        <w:pict>
          <v:rect style="width:0;height:1.5pt" o:hralign="center" o:hrstd="t" o:hr="t"/>
        </w:pict>
      </w:r>
    </w:p>
    <w:bookmarkEnd w:id="30"/>
    <w:bookmarkStart w:id="31" w:name="Xd46a45874b9121f005474e902eb4811266c8082"/>
    <w:p>
      <w:pPr>
        <w:pStyle w:val="Heading1"/>
      </w:pPr>
      <w:r>
        <w:t xml:space="preserve">A.4</w:t>
      </w:r>
      <w:r>
        <w:t xml:space="preserve"> </w:t>
      </w:r>
      <w:r>
        <w:t xml:space="preserve">“</w:t>
      </w:r>
      <w:r>
        <w:t xml:space="preserve">Appendix B</w:t>
      </w:r>
      <w:r>
        <w:t xml:space="preserve">”</w:t>
      </w:r>
      <w:r>
        <w:t xml:space="preserve"> </w:t>
      </w:r>
      <w:r>
        <w:t xml:space="preserve">means two things — read this once</w:t>
      </w:r>
    </w:p>
    <w:p>
      <w:pPr>
        <w:pStyle w:val="FirstParagraph"/>
      </w:pPr>
      <w:r>
        <w:rPr>
          <w:bCs/>
          <w:b/>
        </w:rPr>
        <w:t xml:space="preserve">There are pack-level appendices and document-internal ones, and they use the</w:t>
      </w:r>
      <w:r>
        <w:rPr>
          <w:bCs/>
          <w:b/>
        </w:rPr>
        <w:t xml:space="preserve"> </w:t>
      </w:r>
      <w:r>
        <w:rPr>
          <w:bCs/>
          <w:b/>
        </w:rPr>
        <w:t xml:space="preserve">same letters.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B, C, D, E, F — the six standalone documents in the</w:t>
            </w:r>
            <w:r>
              <w:t xml:space="preserve"> </w:t>
            </w:r>
            <w:r>
              <w:rPr>
                <w:rStyle w:val="VerbatimChar"/>
              </w:rPr>
              <w:t xml:space="preserve">Reference</w:t>
            </w:r>
            <w:r>
              <w:t xml:space="preserve"> </w:t>
            </w:r>
            <w:r>
              <w:t xml:space="preserve">folder. Referred to as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Appendix B</w:t>
            </w:r>
            <w:r>
              <w:rPr>
                <w:bCs/>
                <w:b/>
              </w:rPr>
              <w:t xml:space="preserve">”</w:t>
            </w:r>
            <w:r>
              <w:t xml:space="preserve">, unqualified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Inside the Week 2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more, referred to as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Week 2 Appendix A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and so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Inside the learner workbook appendices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more, referred to as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Workbook Appendix A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and so 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rule: an unqualified name always means the pack-level document.</w:t>
      </w:r>
      <w:r>
        <w:t xml:space="preserve"> </w:t>
      </w:r>
      <w:r>
        <w:t xml:space="preserve">Anything</w:t>
      </w:r>
      <w:r>
        <w:t xml:space="preserve"> </w:t>
      </w:r>
      <w:r>
        <w:t xml:space="preserve">document-internal is named with its document first.</w:t>
      </w:r>
    </w:p>
    <w:p>
      <w:pPr>
        <w:pStyle w:val="BodyText"/>
      </w:pPr>
      <w:r>
        <w:t xml:space="preserve">The two internal sets, so you can recognise them: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Week 2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workbook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Cross-Language Quickstarts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Setup &amp; Environment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GitHub Actions Matrix with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Code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Governance (RACI &amp; Waiver Process)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Glossary of Key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Rubrics &amp; 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Reading &amp;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Glossary (Concise)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Notes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This was a real defect, not a hypothetical.</w:t>
      </w:r>
      <w:r>
        <w:t xml:space="preserve"> </w:t>
      </w:r>
      <w:r>
        <w:t xml:space="preserve">Three documents each carried an</w:t>
      </w:r>
      <w:r>
        <w:t xml:space="preserve"> </w:t>
      </w:r>
      <w:r>
        <w:t xml:space="preserve">“</w:t>
      </w:r>
      <w:r>
        <w:t xml:space="preserve">Appendix B</w:t>
      </w:r>
      <w:r>
        <w:t xml:space="preserve">”</w:t>
      </w:r>
      <w:r>
        <w:t xml:space="preserve"> </w:t>
      </w:r>
      <w:r>
        <w:t xml:space="preserve">and an</w:t>
      </w:r>
      <w:r>
        <w:t xml:space="preserve"> </w:t>
      </w:r>
      <w:r>
        <w:t xml:space="preserve">“</w:t>
      </w:r>
      <w:r>
        <w:t xml:space="preserve">Appendix C</w:t>
      </w:r>
      <w:r>
        <w:t xml:space="preserve">”</w:t>
      </w:r>
      <w:r>
        <w:t xml:space="preserve"> </w:t>
      </w:r>
      <w:r>
        <w:t xml:space="preserve">with nothing to distinguish them in a table of</w:t>
      </w:r>
      <w:r>
        <w:t xml:space="preserve"> </w:t>
      </w:r>
      <w:r>
        <w:t xml:space="preserve">contents. The internal sets were renamed so the unqualified names could belong</w:t>
      </w:r>
      <w:r>
        <w:t xml:space="preserve"> </w:t>
      </w:r>
      <w:r>
        <w:t xml:space="preserve">to the pack-level documents — and this section exists so the convention is</w:t>
      </w:r>
      <w:r>
        <w:t xml:space="preserve"> </w:t>
      </w:r>
      <w:r>
        <w:t xml:space="preserve">written down somewhere a reader will find it, rather than living in the</w:t>
      </w:r>
      <w:r>
        <w:t xml:space="preserve"> </w:t>
      </w:r>
      <w:r>
        <w:t xml:space="preserve">register of things that were once wrong.</w:t>
      </w:r>
    </w:p>
    <w:p>
      <w:r>
        <w:pict>
          <v:rect style="width:0;height:1.5pt" o:hralign="center" o:hrstd="t" o:hr="t"/>
        </w:pict>
      </w:r>
    </w:p>
    <w:bookmarkEnd w:id="31"/>
    <w:bookmarkStart w:id="32" w:name="a.5-what-is-not-in-the-appendices"/>
    <w:p>
      <w:pPr>
        <w:pStyle w:val="Heading1"/>
      </w:pPr>
      <w:r>
        <w:t xml:space="preserve">A.5 What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 the appendices</w:t>
      </w:r>
    </w:p>
    <w:p>
      <w:pPr>
        <w:pStyle w:val="FirstParagraph"/>
      </w:pPr>
      <w:r>
        <w:t xml:space="preserve">Worth saying, so you do not go looking.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Where it actually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weekly teaching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six</w:t>
            </w:r>
            <w:r>
              <w:t xml:space="preserve"> </w:t>
            </w:r>
            <w:r>
              <w:rPr>
                <w:bCs/>
                <w:b/>
              </w:rPr>
              <w:t xml:space="preserve">readers</w:t>
            </w:r>
            <w:r>
              <w:t xml:space="preserve"> </w:t>
            </w:r>
            <w:r>
              <w:t xml:space="preserve">— Week 0 through Week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exercises and templates to fill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learner workbooks</w:t>
            </w:r>
            <w:r>
              <w:t xml:space="preserve">, one per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the four weeks compound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 Design — The Project Spine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rubric, the gates and the 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 Specification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quality/thresholds.yml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Getting a laptop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0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scripts/verify-setup.sh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to program by</w:t>
            </w:r>
            <w:r>
              <w:t xml:space="preserve"> </w:t>
            </w:r>
            <w:r>
              <w:rPr>
                <w:iCs/>
                <w:i/>
              </w:rPr>
              <w:t xml:space="preserve">doing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Foundation module</w:t>
            </w:r>
            <w:r>
              <w:t xml:space="preserve"> </w:t>
            </w:r>
            <w:r>
              <w:t xml:space="preserve">— Appendix D explains, Foundation builds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appendices are for looking things up during the four weeks and for years</w:t>
      </w:r>
      <w:r>
        <w:rPr>
          <w:bCs/>
          <w:b/>
        </w:rPr>
        <w:t xml:space="preserve"> </w:t>
      </w:r>
      <w:r>
        <w:rPr>
          <w:bCs/>
          <w:b/>
        </w:rPr>
        <w:t xml:space="preserve">afterwards.</w:t>
      </w:r>
      <w:r>
        <w:t xml:space="preserve"> </w:t>
      </w:r>
      <w:r>
        <w:t xml:space="preserve">They are not a course. Two sections of Appendix C are the</w:t>
      </w:r>
      <w:r>
        <w:t xml:space="preserve"> </w:t>
      </w:r>
      <w:r>
        <w:t xml:space="preserve">exception, and §A.2 says which.</w:t>
      </w:r>
    </w:p>
    <w:p>
      <w:r>
        <w:pict>
          <v:rect style="width:0;height:1.5pt" o:hralign="center" o:hrstd="t" o:hr="t"/>
        </w:pict>
      </w:r>
    </w:p>
    <w:bookmarkEnd w:id="32"/>
    <w:bookmarkStart w:id="33" w:name="a.6-a-note-on-the-lettering"/>
    <w:p>
      <w:pPr>
        <w:pStyle w:val="Heading1"/>
      </w:pPr>
      <w:r>
        <w:t xml:space="preserve">A.6 A note on the lettering</w:t>
      </w:r>
    </w:p>
    <w:p>
      <w:pPr>
        <w:pStyle w:val="FirstParagraph"/>
      </w:pPr>
      <w:r>
        <w:rPr>
          <w:bCs/>
          <w:b/>
        </w:rPr>
        <w:t xml:space="preserve">The lettering is chronological, not pedagogical, and the sequence begins at B</w:t>
      </w:r>
      <w:r>
        <w:rPr>
          <w:bCs/>
          <w:b/>
        </w:rPr>
        <w:t xml:space="preserve"> </w:t>
      </w:r>
      <w:r>
        <w:rPr>
          <w:bCs/>
          <w:b/>
        </w:rPr>
        <w:t xml:space="preserve">for historical reasons.</w:t>
      </w:r>
      <w:r>
        <w:t xml:space="preserve"> </w:t>
      </w:r>
      <w:r>
        <w:t xml:space="preserve">Appendices B and C were written together and lettered</w:t>
      </w:r>
      <w:r>
        <w:t xml:space="preserve"> </w:t>
      </w:r>
      <w:r>
        <w:t xml:space="preserve">as a pair; there was never an A. D extended the sequence, this document filled</w:t>
      </w:r>
      <w:r>
        <w:t xml:space="preserve"> </w:t>
      </w:r>
      <w:r>
        <w:t xml:space="preserve">the gap, then E and F arrived after it. That is the honest account rather than</w:t>
      </w:r>
      <w:r>
        <w:t xml:space="preserve"> </w:t>
      </w:r>
      <w:r>
        <w:t xml:space="preserve">the tidy one, and it is why</w:t>
      </w:r>
      <w:r>
        <w:t xml:space="preserve"> </w:t>
      </w:r>
      <w:r>
        <w:rPr>
          <w:bCs/>
          <w:b/>
        </w:rPr>
        <w:t xml:space="preserve">the letters are not in reading order — read F, D,</w:t>
      </w:r>
      <w:r>
        <w:rPr>
          <w:bCs/>
          <w:b/>
        </w:rPr>
        <w:t xml:space="preserve"> </w:t>
      </w:r>
      <w:r>
        <w:rPr>
          <w:bCs/>
          <w:b/>
        </w:rPr>
        <w:t xml:space="preserve">B, E, C.</w:t>
      </w:r>
    </w:p>
    <w:p>
      <w:pPr>
        <w:pStyle w:val="BodyText"/>
      </w:pPr>
      <w:r>
        <w:rPr>
          <w:bCs/>
          <w:b/>
        </w:rPr>
        <w:t xml:space="preserve">The letters will not be renumbered</w:t>
      </w:r>
      <w:r>
        <w:t xml:space="preserve">, and that is deliberate. Six documents,</w:t>
      </w:r>
      <w:r>
        <w:t xml:space="preserve"> </w:t>
      </w:r>
      <w:r>
        <w:t xml:space="preserve">two archives, the readers, the instructor guides and the day plans all cite them</w:t>
      </w:r>
      <w:r>
        <w:t xml:space="preserve"> </w:t>
      </w:r>
      <w:r>
        <w:t xml:space="preserve">by letter; renaming to tidy the sequence would break every one of those to buy</w:t>
      </w:r>
      <w:r>
        <w:t xml:space="preserve"> </w:t>
      </w:r>
      <w:r>
        <w:t xml:space="preserve">an aesthetic. A reference work accumulates in the order its author learned</w:t>
      </w:r>
      <w:r>
        <w:t xml:space="preserve"> </w:t>
      </w:r>
      <w:r>
        <w:t xml:space="preserve">things, and that is a normal property of one rather than a defect in this one.</w:t>
      </w:r>
    </w:p>
    <w:p>
      <w:pPr>
        <w:pStyle w:val="BodyText"/>
      </w:pPr>
      <w:r>
        <w:rPr>
          <w:bCs/>
          <w:b/>
        </w:rPr>
        <w:t xml:space="preserve">The volume is expected to grow.</w:t>
      </w:r>
      <w:r>
        <w:t xml:space="preserve"> </w:t>
      </w:r>
      <w:r>
        <w:t xml:space="preserve">New parts get the next free letter and a row</w:t>
      </w:r>
      <w:r>
        <w:t xml:space="preserve"> </w:t>
      </w:r>
      <w:r>
        <w:t xml:space="preserve">in §A.2. The rule that keeps that safe is in the Program Specification under</w:t>
      </w:r>
      <w:r>
        <w:t xml:space="preserve"> </w:t>
      </w:r>
      <w:r>
        <w:rPr>
          <w:iCs/>
          <w:i/>
        </w:rPr>
        <w:t xml:space="preserve">Pacing</w:t>
      </w:r>
      <w:r>
        <w:t xml:space="preserve">:</w:t>
      </w:r>
      <w:r>
        <w:t xml:space="preserve"> </w:t>
      </w:r>
      <w:r>
        <w:rPr>
          <w:bCs/>
          <w:b/>
        </w:rPr>
        <w:t xml:space="preserve">the reference grows freely; taught minutes and assessed artifacts do</w:t>
      </w:r>
      <w:r>
        <w:rPr>
          <w:bCs/>
          <w:b/>
        </w:rPr>
        <w:t xml:space="preserve"> </w:t>
      </w:r>
      <w:r>
        <w:rPr>
          <w:bCs/>
          <w:b/>
        </w:rPr>
        <w:t xml:space="preserve">not.</w:t>
      </w:r>
      <w:r>
        <w:t xml:space="preserve"> </w:t>
      </w:r>
      <w:r>
        <w:t xml:space="preserve">An appendix costs a reader nothing until they need it. A new exit gate</w:t>
      </w:r>
      <w:r>
        <w:t xml:space="preserve"> </w:t>
      </w:r>
      <w:r>
        <w:t xml:space="preserve">costs every learner in every cohort, forever.</w:t>
      </w:r>
    </w:p>
    <w:p>
      <w:pPr>
        <w:pStyle w:val="BodyText"/>
      </w:pPr>
      <w:r>
        <w:t xml:space="preserve">Nothing was withdrawn, and nothing is missing.</w:t>
      </w:r>
    </w:p>
    <w:p>
      <w:r>
        <w:pict>
          <v:rect style="width:0;height:1.5pt" o:hralign="center" o:hrstd="t" o:hr="t"/>
        </w:pict>
      </w:r>
    </w:p>
    <w:bookmarkEnd w:id="33"/>
    <w:bookmarkStart w:id="37" w:name="a.7-what-ages-and-when-to-check-it"/>
    <w:p>
      <w:pPr>
        <w:pStyle w:val="Heading1"/>
      </w:pPr>
      <w:r>
        <w:t xml:space="preserve">A.7 What ages, and when to check it</w:t>
      </w:r>
    </w:p>
    <w:p>
      <w:pPr>
        <w:pStyle w:val="FirstParagraph"/>
      </w:pPr>
      <w:r>
        <w:rPr>
          <w:bCs/>
          <w:b/>
        </w:rPr>
        <w:t xml:space="preserve">Reviewed: 2026-08 · Next review due: 2027-02 · Interval: six months.</w:t>
      </w:r>
    </w:p>
    <w:p>
      <w:pPr>
        <w:pStyle w:val="BodyText"/>
      </w:pPr>
      <w:r>
        <w:t xml:space="preserve">A reference nobody dates is one that quietly becomes wrong while everybody still</w:t>
      </w:r>
      <w:r>
        <w:t xml:space="preserve"> </w:t>
      </w:r>
      <w:r>
        <w:t xml:space="preserve">trusts it.</w:t>
      </w:r>
      <w:r>
        <w:t xml:space="preserve"> </w:t>
      </w:r>
      <w:r>
        <w:rPr>
          <w:bCs/>
          <w:b/>
        </w:rPr>
        <w:t xml:space="preserve">That is the exact failure this program spends four weeks arguing</w:t>
      </w:r>
      <w:r>
        <w:rPr>
          <w:bCs/>
          <w:b/>
        </w:rPr>
        <w:t xml:space="preserve"> </w:t>
      </w:r>
      <w:r>
        <w:rPr>
          <w:bCs/>
          <w:b/>
        </w:rPr>
        <w:t xml:space="preserve">against</w:t>
      </w:r>
      <w:r>
        <w:t xml:space="preserve"> </w:t>
      </w:r>
      <w:r>
        <w:t xml:space="preserve">— §C.13.3 gates a security stage on the</w:t>
      </w:r>
      <w:r>
        <w:t xml:space="preserve"> </w:t>
      </w:r>
      <w:r>
        <w:rPr>
          <w:iCs/>
          <w:i/>
        </w:rPr>
        <w:t xml:space="preserve">age</w:t>
      </w:r>
      <w:r>
        <w:t xml:space="preserve"> </w:t>
      </w:r>
      <w:r>
        <w:t xml:space="preserve">of its vulnerability</w:t>
      </w:r>
      <w:r>
        <w:t xml:space="preserve"> </w:t>
      </w:r>
      <w:r>
        <w:t xml:space="preserve">database for the same reason, and a document deserves the same treatment.</w:t>
      </w:r>
    </w:p>
    <w:p>
      <w:pPr>
        <w:pStyle w:val="BodyText"/>
      </w:pPr>
      <w:r>
        <w:t xml:space="preserve">Most of this volume does not age. Exit codes, SOLID, boundary value analysis,</w:t>
      </w:r>
      <w:r>
        <w:t xml:space="preserve"> </w:t>
      </w:r>
      <w:r>
        <w:t xml:space="preserve">the oracle problem, what a page object is for — those were true in 1994 and will</w:t>
      </w:r>
      <w:r>
        <w:t xml:space="preserve"> </w:t>
      </w:r>
      <w:r>
        <w:t xml:space="preserve">outlive every tool named here.</w:t>
      </w:r>
      <w:r>
        <w:t xml:space="preserve"> </w:t>
      </w:r>
      <w:r>
        <w:rPr>
          <w:bCs/>
          <w:b/>
        </w:rPr>
        <w:t xml:space="preserve">That is the whole point of teaching categories</w:t>
      </w:r>
      <w:r>
        <w:rPr>
          <w:bCs/>
          <w:b/>
        </w:rPr>
        <w:t xml:space="preserve"> </w:t>
      </w:r>
      <w:r>
        <w:rPr>
          <w:bCs/>
          <w:b/>
        </w:rPr>
        <w:t xml:space="preserve">rather than products</w:t>
      </w:r>
      <w:r>
        <w:t xml:space="preserve">, and it is why this list is short.</w:t>
      </w:r>
    </w:p>
    <w:p>
      <w:pPr>
        <w:pStyle w:val="BodyText"/>
      </w:pPr>
      <w:r>
        <w:t xml:space="preserve">What follows is everything with a shelf life, what would tell you it has moved,</w:t>
      </w:r>
      <w:r>
        <w:t xml:space="preserve"> </w:t>
      </w:r>
      <w:r>
        <w:t xml:space="preserve">and how often to look.</w:t>
      </w:r>
    </w:p>
    <w:bookmarkStart w:id="34" w:name="a.7.1-the-list"/>
    <w:p>
      <w:pPr>
        <w:pStyle w:val="Heading2"/>
      </w:pPr>
      <w:r>
        <w:t xml:space="preserve">A.7.1 The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DORA’s four/five metrics</w:t>
            </w:r>
            <w:r>
              <w:t xml:space="preserve"> </w:t>
            </w:r>
            <w:r>
              <w:t xml:space="preserve">— names, and the</w:t>
            </w:r>
            <w:r>
              <w:t xml:space="preserve"> </w:t>
            </w:r>
            <w:r>
              <w:rPr>
                <w:iCs/>
                <w:i/>
              </w:rPr>
              <w:t xml:space="preserve">elite</w:t>
            </w:r>
            <w:r>
              <w:t xml:space="preserve"> </w:t>
            </w:r>
            <w:r>
              <w:t xml:space="preserve">benchmarks: change failure rate</w:t>
            </w:r>
            <w:r>
              <w:t xml:space="preserve"> </w:t>
            </w:r>
            <w:r>
              <w:rPr>
                <w:bCs/>
                <w:b/>
              </w:rPr>
              <w:t xml:space="preserve">&lt; 5%</w:t>
            </w:r>
            <w:r>
              <w:t xml:space="preserve">, lead time</w:t>
            </w:r>
            <w:r>
              <w:t xml:space="preserve"> </w:t>
            </w:r>
            <w:r>
              <w:rPr>
                <w:bCs/>
                <w:b/>
              </w:rPr>
              <w:t xml:space="preserve">&lt; 1 day</w:t>
            </w:r>
            <w:r>
              <w:t xml:space="preserve">, recovery</w:t>
            </w:r>
            <w:r>
              <w:t xml:space="preserve"> </w:t>
            </w:r>
            <w:r>
              <w:rPr>
                <w:bCs/>
                <w:b/>
              </w:rPr>
              <w:t xml:space="preserve">&lt; 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current</w:t>
            </w:r>
            <w:r>
              <w:t xml:space="preserve"> </w:t>
            </w:r>
            <w:r>
              <w:rPr>
                <w:iCs/>
                <w:i/>
              </w:rPr>
              <w:t xml:space="preserve">State of DevOps</w:t>
            </w:r>
            <w:r>
              <w:t xml:space="preserve"> </w:t>
            </w: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Annually</w:t>
            </w:r>
            <w:r>
              <w:t xml:space="preserve">, when the report 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MTTR →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failed deployment recovery time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(2023) and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deployment rework rate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(added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Annually. Older sources still use MTTR, and §4.2 says 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OWASP Top 10:2025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3, Appendix C §C.6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owasp.org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each new edition</w:t>
            </w:r>
            <w:r>
              <w:t xml:space="preserve"> </w:t>
            </w:r>
            <w:r>
              <w:t xml:space="preserve">— roughly every 3–4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WCAG 2.1 AA</w:t>
            </w:r>
            <w:r>
              <w:t xml:space="preserve"> </w:t>
            </w:r>
            <w:r>
              <w:t xml:space="preserve">is what the gates are written against.</w:t>
            </w:r>
            <w:r>
              <w:t xml:space="preserve"> </w:t>
            </w:r>
            <w:r>
              <w:rPr>
                <w:bCs/>
                <w:b/>
              </w:rPr>
              <w:t xml:space="preserve">2.2 is published</w:t>
            </w:r>
            <w:r>
              <w:t xml:space="preserve">; the program cites 2.1 deliberately and consistently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w3.org/WAI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3.0 reaching Recommendation.</w:t>
            </w:r>
            <w:r>
              <w:t xml:space="preserve"> </w:t>
            </w:r>
            <w:r>
              <w:t xml:space="preserve">Also on a client mandating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Automated tools detect ~a third of WCAG success criteria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57% of issue volume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two different measures, both re-quoted without their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3, §C.7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Deque’s published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Annually.</w:t>
            </w:r>
            <w:r>
              <w:t xml:space="preserve"> </w:t>
            </w:r>
            <w:r>
              <w:t xml:space="preserve">§C.7 carries both figures and the distinction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SonarQube Cloud / SonarQube Server</w:t>
            </w:r>
            <w:r>
              <w:t xml:space="preserve"> </w:t>
            </w:r>
            <w:r>
              <w:t xml:space="preserve">— renamed from SonarCloud. Maintainability</w:t>
            </w:r>
            <w:r>
              <w:t xml:space="preserve"> </w:t>
            </w:r>
            <w:r>
              <w:rPr>
                <w:bCs/>
                <w:b/>
              </w:rPr>
              <w:t xml:space="preserve">Rating</w:t>
            </w:r>
            <w:r>
              <w:t xml:space="preserve"> </w:t>
            </w:r>
            <w:r>
              <w:t xml:space="preserve">A–E, not an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 places, §C.8, Week 4 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sonarsource.com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Annually.</w:t>
            </w:r>
            <w:r>
              <w:t xml:space="preserve"> </w:t>
            </w:r>
            <w:r>
              <w:t xml:space="preserve">They have renamed once already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NUnit 4</w:t>
            </w:r>
            <w:r>
              <w:t xml:space="preserve"> </w:t>
            </w:r>
            <w:r>
              <w:t xml:space="preserve">moved the classic assertions to</w:t>
            </w:r>
            <w:r>
              <w:t xml:space="preserve"> </w:t>
            </w:r>
            <w:r>
              <w:rPr>
                <w:rStyle w:val="VerbatimChar"/>
              </w:rPr>
              <w:t xml:space="preserve">ClassicAssert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Assert.AreEqual</w:t>
            </w:r>
            <w:r>
              <w:t xml:space="preserve"> </w:t>
            </w:r>
            <w:r>
              <w:t xml:space="preserve">does not compile on the version Week 0 installs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§2.5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NUnit release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NUnit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Reqnroll</w:t>
            </w:r>
            <w:r>
              <w:t xml:space="preserve">, the maintained successor to</w:t>
            </w:r>
            <w:r>
              <w:t xml:space="preserve"> </w:t>
            </w:r>
            <w:r>
              <w:rPr>
                <w:bCs/>
                <w:b/>
              </w:rPr>
              <w:t xml:space="preserve">SpecFlow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 §2.9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reqnroll.net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 is Grafana k6</w:t>
            </w:r>
            <w:r>
              <w:t xml:space="preserve"> </w:t>
            </w:r>
            <w:r>
              <w:t xml:space="preserve">— docs moved to</w:t>
            </w:r>
            <w:r>
              <w:t xml:space="preserve"> </w:t>
            </w:r>
            <w:r>
              <w:rPr>
                <w:rStyle w:val="VerbatimChar"/>
              </w:rPr>
              <w:t xml:space="preserve">grafana.com/docs/k6/latest/</w:t>
            </w:r>
            <w:r>
              <w:t xml:space="preserve">; the old URL 302s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3, §C.5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Annually. A 302 is not a 404, which is why this went unnoticed for three 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Pinned GitHub Actions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checkout@v6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upload-artifact@v4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setup-node@v4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download-artifact@v4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setup-k6-action@v1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snyk/actions/setup@0.4.0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zaproxy/action-baseline@v0.15.0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action’s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term.</w:t>
            </w:r>
            <w:r>
              <w:t xml:space="preserve"> </w:t>
            </w:r>
            <w:r>
              <w:t xml:space="preserve">The fastest-rotting thing in the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gitleaks/gitleaks-action@v3</w:t>
            </w:r>
            <w:r>
              <w:t xml:space="preserve"> </w:t>
            </w:r>
            <w:r>
              <w:t xml:space="preserve">— moved from</w:t>
            </w:r>
            <w:r>
              <w:t xml:space="preserve"> </w:t>
            </w:r>
            <w:r>
              <w:rPr>
                <w:rStyle w:val="VerbatimChar"/>
              </w:rPr>
              <w:t xml:space="preserve">zricethezav/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Taught in Week 3; not in the shipped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 §5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Toolchain minimums</w:t>
            </w:r>
            <w:r>
              <w:t xml:space="preserve"> </w:t>
            </w:r>
            <w:r>
              <w:t xml:space="preserve">the Week 0 gate enforces: Git 2.30+, Docker 20+,</w:t>
            </w:r>
            <w:r>
              <w:t xml:space="preserve"> </w:t>
            </w:r>
            <w:r>
              <w:rPr>
                <w:bCs/>
                <w:b/>
              </w:rPr>
              <w:t xml:space="preserve">JDK 17+</w:t>
            </w:r>
            <w:r>
              <w:t xml:space="preserve">, Maven 3.9+,</w:t>
            </w:r>
            <w:r>
              <w:t xml:space="preserve"> </w:t>
            </w:r>
            <w:r>
              <w:rPr>
                <w:bCs/>
                <w:b/>
              </w:rPr>
              <w:t xml:space="preserve">Python 3.11+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.NET 8+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verify-setup.sh</w:t>
            </w:r>
            <w:r>
              <w:t xml:space="preserve">, Week 0 §0.4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vendor’s LTS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Annually.</w:t>
            </w:r>
            <w:r>
              <w:t xml:space="preserve"> </w:t>
            </w:r>
            <w:r>
              <w:t xml:space="preserve">.NET 8 and JDK 17 are LTS; when the next LTS lands, decide rather than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 features the examples use</w:t>
            </w:r>
            <w:r>
              <w:t xml:space="preserve"> </w:t>
            </w:r>
            <w:r>
              <w:t xml:space="preserve">— Java 17 records, C# 12 primary constructors, Python 3.10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X \| Y</w:t>
            </w:r>
            <w:r>
              <w:t xml:space="preserve">, C++17 (C++20 where noted)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Appendices B,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language’s release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#12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Trivy’s flags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--download-db-only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--skip-db-update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--cache-dir</w:t>
            </w:r>
            <w:r>
              <w:t xml:space="preserve">, and the DB path —</w:t>
            </w:r>
            <w:r>
              <w:t xml:space="preserve"> </w:t>
            </w:r>
            <w:r>
              <w:rPr>
                <w:bCs/>
                <w:b/>
              </w:rPr>
              <w:t xml:space="preserve">explicitly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§C.13.3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image --help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building any gate on them</w:t>
            </w:r>
            <w:r>
              <w:t xml:space="preserve">, and 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Free-tier terms</w:t>
            </w:r>
            <w:r>
              <w:t xml:space="preserve"> </w:t>
            </w:r>
            <w:r>
              <w:t xml:space="preserve">— SonarQube Cloud’s 50,000-line private limit, Snyk’s test allowance, GitHub Actions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0 §0.7, §0.8, §0.6.1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vendor’s pricing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term.</w:t>
            </w:r>
            <w:r>
              <w:t xml:space="preserve"> </w:t>
            </w:r>
            <w:r>
              <w:t xml:space="preserve">Free tiers move without notice and Week 0 depends on all three</w:t>
            </w:r>
          </w:p>
        </w:tc>
      </w:tr>
    </w:tbl>
    <w:bookmarkEnd w:id="34"/>
    <w:bookmarkStart w:id="35" w:name="a.7.2-how-to-run-a-review"/>
    <w:p>
      <w:pPr>
        <w:pStyle w:val="Heading2"/>
      </w:pPr>
      <w:r>
        <w:t xml:space="preserve">A.7.2 How to run a review</w:t>
      </w:r>
    </w:p>
    <w:p>
      <w:pPr>
        <w:pStyle w:val="FirstParagraph"/>
      </w:pPr>
      <w:r>
        <w:t xml:space="preserve">Half a day, twice a year. In order, because the first two catch most of it: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Re-run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./scripts/verify-setup.sh</w:t>
      </w:r>
      <w:r>
        <w:t xml:space="preserve"> </w:t>
      </w:r>
      <w:r>
        <w:t xml:space="preserve">on a clean machine. It checks versions</w:t>
      </w:r>
      <w:r>
        <w:t xml:space="preserve"> </w:t>
      </w:r>
      <w:r>
        <w:t xml:space="preserve">rather than presence, so it fails on #12 by itself.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 the pipeline once, green, end to end.</w:t>
      </w:r>
      <w:r>
        <w:t xml:space="preserve"> </w:t>
      </w:r>
      <w:r>
        <w:t xml:space="preserve">Deprecated actions warn before</w:t>
      </w:r>
      <w:r>
        <w:t xml:space="preserve"> </w:t>
      </w:r>
      <w:r>
        <w:t xml:space="preserve">they break, and #10 and #11 surface here for free.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 rows 1–5.</w:t>
      </w:r>
      <w:r>
        <w:t xml:space="preserve"> </w:t>
      </w:r>
      <w:r>
        <w:t xml:space="preserve">These are</w:t>
      </w:r>
      <w:r>
        <w:t xml:space="preserve"> </w:t>
      </w:r>
      <w:r>
        <w:rPr>
          <w:iCs/>
          <w:i/>
        </w:rPr>
        <w:t xml:space="preserve">claims about the world</w:t>
      </w:r>
      <w:r>
        <w:t xml:space="preserve">, not versions, and</w:t>
      </w:r>
      <w:r>
        <w:t xml:space="preserve"> </w:t>
      </w:r>
      <w:r>
        <w:t xml:space="preserve">nothing mechanical will ever catch them. They are the rows that make this</w:t>
      </w:r>
      <w:r>
        <w:t xml:space="preserve"> </w:t>
      </w:r>
      <w:r>
        <w:t xml:space="preserve">volume trustworthy or not.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Correct in the master, rebuild, and move the date at the top of this</w:t>
      </w:r>
      <w:r>
        <w:rPr>
          <w:bCs/>
          <w:b/>
        </w:rPr>
        <w:t xml:space="preserve"> </w:t>
      </w:r>
      <w:r>
        <w:rPr>
          <w:bCs/>
          <w:b/>
        </w:rPr>
        <w:t xml:space="preserve">section.</w:t>
      </w:r>
      <w:r>
        <w:t xml:space="preserve"> </w:t>
      </w:r>
      <w:r>
        <w:t xml:space="preserve">Not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— §5 of the operator’s README says why.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 what moved in the Gap Register</w:t>
      </w:r>
      <w:r>
        <w:t xml:space="preserve">, as a numbered round like any other.</w:t>
      </w:r>
      <w:r>
        <w:t xml:space="preserve"> </w:t>
      </w:r>
      <w:r>
        <w:t xml:space="preserve">A correction with no record is one nobody can audit.</w:t>
      </w:r>
    </w:p>
    <w:p>
      <w:pPr>
        <w:pStyle w:val="BlockText"/>
      </w:pPr>
      <w:r>
        <w:rPr>
          <w:bCs/>
          <w:b/>
        </w:rPr>
        <w:t xml:space="preserve">What to do when a row has moved and you cannot fix it yet.</w:t>
      </w:r>
      <w:r>
        <w:t xml:space="preserve"> </w:t>
      </w:r>
      <w:r>
        <w:t xml:space="preserve">Say so, in the</w:t>
      </w:r>
      <w:r>
        <w:t xml:space="preserve"> </w:t>
      </w:r>
      <w:r>
        <w:t xml:space="preserve">place a reader will meet it, with the date.</w:t>
      </w:r>
      <w:r>
        <w:t xml:space="preserve"> </w:t>
      </w:r>
      <w:r>
        <w:rPr>
          <w:bCs/>
          <w:b/>
        </w:rPr>
        <w:t xml:space="preserve">A dated known-stale line is</w:t>
      </w:r>
      <w:r>
        <w:rPr>
          <w:bCs/>
          <w:b/>
        </w:rPr>
        <w:t xml:space="preserve"> </w:t>
      </w:r>
      <w:r>
        <w:rPr>
          <w:bCs/>
          <w:b/>
        </w:rPr>
        <w:t xml:space="preserve">honest and usable; an undated correct-looking one is neither</w:t>
      </w:r>
      <w:r>
        <w:t xml:space="preserve"> </w:t>
      </w:r>
      <w:r>
        <w:t xml:space="preserve">— which is the</w:t>
      </w:r>
      <w:r>
        <w:t xml:space="preserve"> </w:t>
      </w:r>
      <w:r>
        <w:t xml:space="preserve">§C.13.3 argument again, applied to prose instead of to a CVE database.</w:t>
      </w:r>
    </w:p>
    <w:bookmarkEnd w:id="35"/>
    <w:bookmarkStart w:id="36" w:name="a.7.3-what-this-list-is-not"/>
    <w:p>
      <w:pPr>
        <w:pStyle w:val="Heading2"/>
      </w:pPr>
      <w:r>
        <w:t xml:space="preserve">A.7.3 What this list is not</w:t>
      </w:r>
    </w:p>
    <w:p>
      <w:pPr>
        <w:pStyle w:val="FirstParagraph"/>
      </w:pPr>
      <w:r>
        <w:rPr>
          <w:bCs/>
          <w:b/>
        </w:rPr>
        <w:t xml:space="preserve">It is not a list of what might be wrong.</w:t>
      </w:r>
      <w:r>
        <w:t xml:space="preserve"> </w:t>
      </w:r>
      <w:r>
        <w:t xml:space="preserve">Every row above is correct as of</w:t>
      </w:r>
      <w:r>
        <w:t xml:space="preserve"> </w:t>
      </w:r>
      <w:r>
        <w:t xml:space="preserve">the review date and was checked. It is a list of what has a</w:t>
      </w:r>
      <w:r>
        <w:t xml:space="preserve"> </w:t>
      </w:r>
      <w:r>
        <w:rPr>
          <w:iCs/>
          <w:i/>
        </w:rPr>
        <w:t xml:space="preserve">mechanism</w:t>
      </w:r>
      <w:r>
        <w:t xml:space="preserve"> </w:t>
      </w:r>
      <w:r>
        <w:t xml:space="preserve">for</w:t>
      </w:r>
      <w:r>
        <w:t xml:space="preserve"> </w:t>
      </w:r>
      <w:r>
        <w:t xml:space="preserve">becoming wrong — a vendor who renames things, a standards body on a cycle, a</w:t>
      </w:r>
      <w:r>
        <w:t xml:space="preserve"> </w:t>
      </w:r>
      <w:r>
        <w:t xml:space="preserve">benchmark republished annually.</w:t>
      </w:r>
    </w:p>
    <w:p>
      <w:pPr>
        <w:pStyle w:val="BodyText"/>
      </w:pPr>
      <w:r>
        <w:rPr>
          <w:bCs/>
          <w:b/>
        </w:rPr>
        <w:t xml:space="preserve">Two known limits are recorded elsewhere and are not decay</w:t>
      </w:r>
      <w:r>
        <w:t xml:space="preserve">, because they were</w:t>
      </w:r>
      <w:r>
        <w:t xml:space="preserve"> </w:t>
      </w:r>
      <w:r>
        <w:t xml:space="preserve">never verified in the first place: the reference system’s</w:t>
      </w:r>
      <w:r>
        <w:t xml:space="preserve"> </w:t>
      </w:r>
      <w:r>
        <w:rPr>
          <w:bCs/>
          <w:b/>
        </w:rPr>
        <w:t xml:space="preserve">Java and C#</w:t>
      </w:r>
      <w:r>
        <w:rPr>
          <w:bCs/>
          <w:b/>
        </w:rPr>
        <w:t xml:space="preserve"> </w:t>
      </w:r>
      <w:r>
        <w:rPr>
          <w:bCs/>
          <w:b/>
        </w:rPr>
        <w:t xml:space="preserve">implementations have never been executed</w:t>
      </w:r>
      <w:r>
        <w:t xml:space="preserve"> </w:t>
      </w:r>
      <w:r>
        <w:t xml:space="preserve">(the package feeds are unreachable</w:t>
      </w:r>
      <w:r>
        <w:t xml:space="preserve"> </w:t>
      </w:r>
      <w:r>
        <w:t xml:space="preserve">from the authoring environment, and every place they appear says so), and the</w:t>
      </w:r>
      <w:r>
        <w:t xml:space="preserve"> </w:t>
      </w:r>
      <w:r>
        <w:t xml:space="preserve">readers’</w:t>
      </w:r>
      <w:r>
        <w:t xml:space="preserve"> </w:t>
      </w:r>
      <w:r>
        <w:rPr>
          <w:bCs/>
          <w:b/>
        </w:rPr>
        <w:t xml:space="preserve">case studies are composites</w:t>
      </w:r>
      <w:r>
        <w:t xml:space="preserve"> </w:t>
      </w:r>
      <w:r>
        <w:t xml:space="preserve">rather than sourced engagements, which</w:t>
      </w:r>
      <w:r>
        <w:t xml:space="preserve"> </w:t>
      </w:r>
      <w:r>
        <w:t xml:space="preserve">every reader discloses at its first one. Both are in the Gap Register. Do not</w:t>
      </w:r>
      <w:r>
        <w:t xml:space="preserve"> </w:t>
      </w:r>
      <w:r>
        <w:t xml:space="preserve">let a review pass conclude they were fixed by not being mentioned.</w:t>
      </w:r>
    </w:p>
    <w:p>
      <w:pPr>
        <w:pStyle w:val="BodyText"/>
      </w:pPr>
      <w:r>
        <w:rPr>
          <w:bCs/>
          <w:b/>
        </w:rPr>
        <w:t xml:space="preserve">And the honest one about this volume as a whole:</w:t>
      </w:r>
      <w:r>
        <w:t xml:space="preserve"> </w:t>
      </w:r>
      <w:r>
        <w:t xml:space="preserve">roughly a quarter of it was</w:t>
      </w:r>
      <w:r>
        <w:t xml:space="preserve"> </w:t>
      </w:r>
      <w:r>
        <w:t xml:space="preserve">written in a single authoring push and has had</w:t>
      </w:r>
      <w:r>
        <w:t xml:space="preserve"> </w:t>
      </w:r>
      <w:r>
        <w:rPr>
          <w:bCs/>
          <w:b/>
        </w:rPr>
        <w:t xml:space="preserve">one reviewer</w:t>
      </w:r>
      <w:r>
        <w:t xml:space="preserve">. The checks in</w:t>
      </w:r>
      <w:r>
        <w:t xml:space="preserve"> </w:t>
      </w:r>
      <w:r>
        <w:t xml:space="preserve">the build verify that code compiles, tables are square, references resolve and</w:t>
      </w:r>
      <w:r>
        <w:t xml:space="preserve"> </w:t>
      </w:r>
      <w:r>
        <w:t xml:space="preserve">counts derive.</w:t>
      </w:r>
      <w:r>
        <w:t xml:space="preserve"> </w:t>
      </w:r>
      <w:r>
        <w:rPr>
          <w:bCs/>
          <w:b/>
        </w:rPr>
        <w:t xml:space="preserve">Nothing mechanical can tell you an explanation is good</w:t>
      </w:r>
      <w:r>
        <w:t xml:space="preserve"> </w:t>
      </w:r>
      <w:r>
        <w:t xml:space="preserve">— so</w:t>
      </w:r>
      <w:r>
        <w:t xml:space="preserve"> </w:t>
      </w:r>
      <w:r>
        <w:t xml:space="preserve">the first reader who disagrees with a passage is worth more than the next check,</w:t>
      </w:r>
      <w:r>
        <w:t xml:space="preserve"> </w:t>
      </w:r>
      <w:r>
        <w:t xml:space="preserve">and should be treated that way.</w:t>
      </w:r>
    </w:p>
    <w:bookmarkEnd w:id="36"/>
    <w:bookmarkEnd w:id="37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Quality Engineering Field Guide — Front Matter and Map</dc:title>
  <dc:creator/>
  <cp:keywords/>
  <dcterms:created xsi:type="dcterms:W3CDTF">2026-08-31T02:46:55Z</dcterms:created>
  <dcterms:modified xsi:type="dcterms:W3CDTF">2026-08-31T02:46:55Z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Appendix A · Companion to Project Work Automation, Clean Code &amp; Software Quality Engineering — Canadian Edition 2025</vt:lpwstr>
  </property>
</Properties>
</file>