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36" w:name="Xd42650a154585be03c7dbdaa7fd3f93efbbf7c4"/>
    <w:p>
      <w:pPr>
        <w:pStyle w:val="Heading1"/>
      </w:pPr>
      <w:r>
        <w:t xml:space="preserve">Learner Workbook – Week 2 (Functional Testing &amp; Framework Architecture)</w:t>
      </w:r>
    </w:p>
    <w:p>
      <w:pPr>
        <w:pStyle w:val="FirstParagraph"/>
      </w:pPr>
      <w:r>
        <w:rPr>
          <w:bCs/>
          <w:b/>
        </w:rPr>
        <w:t xml:space="preserve">Project Work Automation, Clean Code &amp; Software Quality Engineering</w:t>
      </w:r>
    </w:p>
    <w:p>
      <w:pPr>
        <w:pStyle w:val="BodyText"/>
      </w:pPr>
      <w:r>
        <w:rPr>
          <w:bCs/>
          <w:b/>
        </w:rPr>
        <w:t xml:space="preserve">Canadian Edition 2025 – Self-Paced Version</w:t>
      </w:r>
    </w:p>
    <w:bookmarkStart w:id="20" w:name="cover-page"/>
    <w:p>
      <w:pPr>
        <w:pStyle w:val="Heading3"/>
      </w:pPr>
      <w:r>
        <w:t xml:space="preserve">Cover Page</w:t>
      </w:r>
    </w:p>
    <w:p>
      <w:pPr>
        <w:pStyle w:val="FirstParagraph"/>
      </w:pPr>
      <w:r>
        <w:t xml:space="preserve">Learner Name: _________________________ Email: ________________________________ Start Date: ___________________________ Project Title: _________________________</w:t>
      </w:r>
    </w:p>
    <w:bookmarkEnd w:id="20"/>
    <w:bookmarkStart w:id="2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rPr>
          <w:bCs/>
          <w:b/>
        </w:rPr>
        <w:t xml:space="preserve">Welcome to Week 2 – Functional Testing &amp; Framework Architecture!</w:t>
      </w:r>
    </w:p>
    <w:p>
      <w:pPr>
        <w:pStyle w:val="BodyText"/>
      </w:pPr>
      <w:r>
        <w:t xml:space="preserve">This workbook builds on the Week 1 Foundations module. You’ll now design, automate, and evaluate tests that span from integration to end-to-end and implement the architectural patterns that sustain them long-term. Each section connects directly to the Week 2 Course Material and provides:</w:t>
      </w:r>
    </w:p>
    <w:p>
      <w:pPr>
        <w:numPr>
          <w:ilvl w:val="0"/>
          <w:numId w:val="1001"/>
        </w:numPr>
        <w:pStyle w:val="Compact"/>
      </w:pPr>
      <w:r>
        <w:t xml:space="preserve">concise theory summaries</w:t>
      </w:r>
    </w:p>
    <w:p>
      <w:pPr>
        <w:numPr>
          <w:ilvl w:val="0"/>
          <w:numId w:val="1001"/>
        </w:numPr>
        <w:pStyle w:val="Compact"/>
      </w:pPr>
      <w:r>
        <w:t xml:space="preserve">hands-on Try It Yourself labs</w:t>
      </w:r>
    </w:p>
    <w:p>
      <w:pPr>
        <w:numPr>
          <w:ilvl w:val="0"/>
          <w:numId w:val="1001"/>
        </w:numPr>
        <w:pStyle w:val="Compact"/>
      </w:pPr>
      <w:r>
        <w:t xml:space="preserve">incremental project tasks</w:t>
      </w:r>
    </w:p>
    <w:p>
      <w:pPr>
        <w:numPr>
          <w:ilvl w:val="0"/>
          <w:numId w:val="1001"/>
        </w:numPr>
        <w:pStyle w:val="Compact"/>
      </w:pPr>
      <w:r>
        <w:t xml:space="preserve">reflection and self-assessment prompts 💡 Tip: Keep your answers, screenshots, and reports together. At the end of the week, submit this workbook and your GitHub repository.</w:t>
      </w:r>
    </w:p>
    <w:bookmarkEnd w:id="21"/>
    <w:bookmarkStart w:id="22" w:name="phase-2-learning-goals"/>
    <w:p>
      <w:pPr>
        <w:pStyle w:val="Heading2"/>
      </w:pPr>
      <w:r>
        <w:t xml:space="preserve">Phase 2 — Learning Goals</w:t>
      </w:r>
    </w:p>
    <w:p>
      <w:pPr>
        <w:pStyle w:val="FirstParagraph"/>
      </w:pPr>
      <w:r>
        <w:t xml:space="preserve">By completing this workbook, you will:</w:t>
      </w:r>
    </w:p>
    <w:p>
      <w:pPr>
        <w:numPr>
          <w:ilvl w:val="0"/>
          <w:numId w:val="1002"/>
        </w:numPr>
        <w:pStyle w:val="Compact"/>
      </w:pPr>
      <w:r>
        <w:t xml:space="preserve">Design and implement Integration and E2E tests.</w:t>
      </w:r>
    </w:p>
    <w:p>
      <w:pPr>
        <w:numPr>
          <w:ilvl w:val="0"/>
          <w:numId w:val="1002"/>
        </w:numPr>
        <w:pStyle w:val="Compact"/>
      </w:pPr>
      <w:r>
        <w:t xml:space="preserve">Build a modular automation framework using Clean Code + SOLID.</w:t>
      </w:r>
    </w:p>
    <w:p>
      <w:pPr>
        <w:numPr>
          <w:ilvl w:val="0"/>
          <w:numId w:val="1002"/>
        </w:numPr>
        <w:pStyle w:val="Compact"/>
      </w:pPr>
      <w:r>
        <w:t xml:space="preserve">Integrate static analysis, coverage, and mutation metrics.</w:t>
      </w:r>
    </w:p>
    <w:p>
      <w:pPr>
        <w:numPr>
          <w:ilvl w:val="0"/>
          <w:numId w:val="1002"/>
        </w:numPr>
        <w:pStyle w:val="Compact"/>
      </w:pPr>
      <w:r>
        <w:t xml:space="preserve">Apply accessibility and PIPEDA compliance principles.</w:t>
      </w:r>
      <w:r>
        <w:t xml:space="preserve"> </w:t>
      </w:r>
      <w:r>
        <w:rPr>
          <w:bCs/>
          <w:b/>
        </w:rPr>
        <w:t xml:space="preserve">AODA’s legal floor is WCAG 2.0 AA</w:t>
      </w:r>
      <w:r>
        <w:t xml:space="preserve"> </w:t>
      </w:r>
      <w:r>
        <w:t xml:space="preserve">— it has never referenced 2.1. This program gates at 2.1 AA, which</w:t>
      </w:r>
      <w:r>
        <w:t xml:space="preserve"> </w:t>
      </w:r>
      <w:r>
        <w:rPr>
          <w:iCs/>
          <w:i/>
        </w:rPr>
        <w:t xml:space="preserve">exceeds</w:t>
      </w:r>
      <w:r>
        <w:t xml:space="preserve"> </w:t>
      </w:r>
      <w:r>
        <w:t xml:space="preserve">the law. Know which number is the law and which is your standard; a client will ask.</w:t>
      </w:r>
    </w:p>
    <w:p>
      <w:pPr>
        <w:numPr>
          <w:ilvl w:val="0"/>
          <w:numId w:val="1002"/>
        </w:numPr>
        <w:pStyle w:val="Compact"/>
      </w:pPr>
      <w:r>
        <w:t xml:space="preserve">Run and interpret CI/CD pipelines + DORA metrics.</w:t>
      </w:r>
    </w:p>
    <w:bookmarkEnd w:id="22"/>
    <w:bookmarkStart w:id="23" w:name="project-overview-functional-quality-loop"/>
    <w:p>
      <w:pPr>
        <w:pStyle w:val="Heading2"/>
      </w:pPr>
      <w:r>
        <w:t xml:space="preserve">Project Overview — Functional Quality Loop</w:t>
      </w:r>
    </w:p>
    <w:p>
      <w:pPr>
        <w:pStyle w:val="FirstParagraph"/>
      </w:pPr>
      <w:r>
        <w:t xml:space="preserve">You will extend your Week 1 mini-framework into a multi-layer quality system.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&amp; API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src/tests/integration/</w:t>
            </w:r>
            <w:r>
              <w:t xml:space="preserve"> </w:t>
            </w:r>
            <w:r>
              <w:t xml:space="preserve">— suite plus one contract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src/tests/e2e/</w:t>
            </w:r>
            <w:r>
              <w:t xml:space="preserve"> </w:t>
            </w:r>
            <w:r>
              <w:t xml:space="preserve">— flows derived from your Week 1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directories +</w:t>
            </w:r>
            <w:r>
              <w:t xml:space="preserve"> </w:t>
            </w:r>
            <w:r>
              <w:rPr>
                <w:rStyle w:val="VerbatimChar"/>
              </w:rPr>
              <w:t xml:space="preserve">docs/framework-architecture.md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analysis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 project;</w:t>
            </w:r>
            <w:r>
              <w:t xml:space="preserve"> </w:t>
            </w:r>
            <w:r>
              <w:rPr>
                <w:bCs/>
                <w:b/>
              </w:rPr>
              <w:t xml:space="preserve">coverage gated at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coverage.enabled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maintainability.enabled</w:t>
            </w:r>
            <w:r>
              <w:t xml:space="preserve"> </w:t>
            </w:r>
            <w:r>
              <w:t xml:space="preserve">flipped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quality/thresholds.yml</w:t>
            </w:r>
            <w:r>
              <w:t xml:space="preserve">, plus one run that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  <w:r>
              <w:t xml:space="preserve"> </w:t>
            </w:r>
            <w:r>
              <w:t xml:space="preserve">the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Gherkin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docs/test-strategy.md</w:t>
            </w:r>
            <w:r>
              <w:t xml:space="preserve"> </w:t>
            </w:r>
            <w:r>
              <w:t xml:space="preserve">— a name, or the word</w:t>
            </w:r>
            <w:r>
              <w:t xml:space="preserve"> </w:t>
            </w:r>
            <w:r>
              <w:t xml:space="preserve">“</w:t>
            </w:r>
            <w:r>
              <w:t xml:space="preserve">nobody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You are extending Week 1, not starting again.</w:t>
      </w:r>
      <w:r>
        <w:t xml:space="preserve"> </w:t>
      </w:r>
      <w:r>
        <w:t xml:space="preserve">Every E2E flow here traces to</w:t>
      </w:r>
      <w:r>
        <w:t xml:space="preserve"> </w:t>
      </w:r>
      <w:r>
        <w:t xml:space="preserve">a criterion you wrote last week, and the framework layers are the SOLID</w:t>
      </w:r>
      <w:r>
        <w:t xml:space="preserve"> </w:t>
      </w:r>
      <w:r>
        <w:t xml:space="preserve">argument you made last week turned into directories.</w:t>
      </w:r>
    </w:p>
    <w:bookmarkEnd w:id="23"/>
    <w:bookmarkStart w:id="24" w:name="integration-testing"/>
    <w:p>
      <w:pPr>
        <w:pStyle w:val="Heading2"/>
      </w:pPr>
      <w:r>
        <w:t xml:space="preserve">1. Integration Testing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Integration tests verify how modules and services interact. They bridge fast unit tests and slower E2E scenarios.</w:t>
      </w:r>
    </w:p>
    <w:p>
      <w:pPr>
        <w:pStyle w:val="BodyText"/>
      </w:pPr>
      <w:r>
        <w:rPr>
          <w:bCs/>
          <w:b/>
        </w:rPr>
        <w:t xml:space="preserve">Example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test_user_details():</w:t>
      </w:r>
      <w:r>
        <w:br/>
      </w:r>
      <w:r>
        <w:rPr>
          <w:rStyle w:val="NormalTok"/>
        </w:rPr>
        <w:t xml:space="preserve">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"https://api.example.com/users/5"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pStyle w:val="BodyText"/>
      </w:pPr>
      <w:r>
        <w:t xml:space="preserve">Write an integration test for an API endpoint that retrieves or updates data. Hint → Validate both the HTTP status and response schema.</w:t>
      </w:r>
    </w:p>
    <w:p>
      <w:pPr>
        <w:pStyle w:val="BodyText"/>
      </w:pPr>
      <w:r>
        <w:rPr>
          <w:bCs/>
          <w:b/>
        </w:rPr>
        <w:t xml:space="preserve">Reflection</w:t>
      </w:r>
    </w:p>
    <w:p>
      <w:pPr>
        <w:pStyle w:val="BodyText"/>
      </w:pPr>
      <w:r>
        <w:t xml:space="preserve">Why do integration tests often fail when dependencies change? How could contract testing or TestContainers reduce that risk?</w:t>
      </w:r>
    </w:p>
    <w:bookmarkEnd w:id="24"/>
    <w:bookmarkStart w:id="25" w:name="end-to-end-e2e-testing"/>
    <w:p>
      <w:pPr>
        <w:pStyle w:val="Heading2"/>
      </w:pPr>
      <w:r>
        <w:t xml:space="preserve">2. End-to-End (E2E) Testing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E2E tests simulate full user journeys, ensuring that UI, API, and database layers deliver expected outcomes.</w:t>
      </w:r>
    </w:p>
    <w:p>
      <w:pPr>
        <w:pStyle w:val="BodyText"/>
      </w:pPr>
      <w:r>
        <w:rPr>
          <w:bCs/>
          <w:b/>
        </w:rPr>
        <w:t xml:space="preserve">Example (Java – Selenium)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shouldLoginSuccessfully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WebDriver 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"https://example.com/login"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numPr>
          <w:ilvl w:val="0"/>
          <w:numId w:val="1003"/>
        </w:numPr>
        <w:pStyle w:val="Compact"/>
      </w:pPr>
      <w:r>
        <w:t xml:space="preserve">Choose one feature (Login, Search, Checkout). 2. Write pseudocode describing each step of the user flow. 3. Identify potential flakiness (timeouts, selectors, network latency).</w:t>
      </w:r>
    </w:p>
    <w:p>
      <w:pPr>
        <w:pStyle w:val="FirstParagraph"/>
      </w:pPr>
      <w:r>
        <w:rPr>
          <w:bCs/>
          <w:b/>
        </w:rPr>
        <w:t xml:space="preserve">Reflection</w:t>
      </w:r>
    </w:p>
    <w:p>
      <w:pPr>
        <w:pStyle w:val="BodyText"/>
      </w:pPr>
      <w:r>
        <w:t xml:space="preserve">How does an E2E test differ from an integration test in scope and purpose?</w:t>
      </w:r>
    </w:p>
    <w:bookmarkEnd w:id="25"/>
    <w:bookmarkStart w:id="26" w:name="framework-architecture-design"/>
    <w:p>
      <w:pPr>
        <w:pStyle w:val="Heading2"/>
      </w:pPr>
      <w:r>
        <w:t xml:space="preserve">3. Framework Architecture Design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A solid automation framework isolates concerns and maximises reuse.</w:t>
      </w:r>
    </w:p>
    <w:p>
      <w:pPr>
        <w:pStyle w:val="BodyText"/>
      </w:pPr>
      <w:r>
        <w:rPr>
          <w:bCs/>
          <w:b/>
        </w:rPr>
        <w:t xml:space="preserve">Typical Structure</w:t>
      </w:r>
    </w:p>
    <w:p>
      <w:pPr>
        <w:pStyle w:val="SourceCode"/>
      </w:pP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├── base/</w:t>
      </w:r>
      <w:r>
        <w:br/>
      </w:r>
      <w:r>
        <w:rPr>
          <w:rStyle w:val="VerbatimChar"/>
        </w:rPr>
        <w:t xml:space="preserve"> ├── pages/</w:t>
      </w:r>
      <w:r>
        <w:br/>
      </w:r>
      <w:r>
        <w:rPr>
          <w:rStyle w:val="VerbatimChar"/>
        </w:rPr>
        <w:t xml:space="preserve"> ├── tests/</w:t>
      </w:r>
      <w:r>
        <w:br/>
      </w:r>
      <w:r>
        <w:rPr>
          <w:rStyle w:val="VerbatimChar"/>
        </w:rPr>
        <w:t xml:space="preserve"> ├── utils/</w:t>
      </w:r>
      <w:r>
        <w:br/>
      </w:r>
      <w:r>
        <w:rPr>
          <w:rStyle w:val="VerbatimChar"/>
        </w:rPr>
        <w:t xml:space="preserve"> └── config/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pStyle w:val="BodyText"/>
      </w:pPr>
      <w:r>
        <w:t xml:space="preserve">Sketch or describe your folder structure. Where will you store Page Objects, API clients, utilities, and configs?</w:t>
      </w:r>
    </w:p>
    <w:p>
      <w:pPr>
        <w:pStyle w:val="BodyText"/>
      </w:pPr>
      <w:r>
        <w:rPr>
          <w:bCs/>
          <w:b/>
        </w:rPr>
        <w:t xml:space="preserve">Project Task</w:t>
      </w:r>
    </w:p>
    <w:p>
      <w:pPr>
        <w:pStyle w:val="BodyText"/>
      </w:pPr>
      <w:r>
        <w:t xml:space="preserve">Implement a Driver Factory (Factory Pattern) or shared fixture for your chosen language.</w:t>
      </w:r>
    </w:p>
    <w:p>
      <w:pPr>
        <w:pStyle w:val="BodyText"/>
      </w:pPr>
      <w:r>
        <w:rPr>
          <w:bCs/>
          <w:b/>
        </w:rPr>
        <w:t xml:space="preserve">Instructor Tip</w:t>
      </w:r>
    </w:p>
    <w:p>
      <w:pPr>
        <w:pStyle w:val="BodyText"/>
      </w:pPr>
      <w:r>
        <w:t xml:space="preserve">Readability &gt; Cleverness — keep abstractions small, names meaningful, and configuration externalised.</w:t>
      </w:r>
    </w:p>
    <w:bookmarkEnd w:id="26"/>
    <w:bookmarkStart w:id="27" w:name="static-analysis-code-coverage"/>
    <w:p>
      <w:pPr>
        <w:pStyle w:val="Heading2"/>
      </w:pPr>
      <w:r>
        <w:t xml:space="preserve">4. Static Analysis &amp; Code Coverage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Static analysis finds maintainability issues; coverage shows execution breadth — but remember: coverage ≠ quality.</w:t>
      </w:r>
    </w:p>
    <w:p>
      <w:pPr>
        <w:pStyle w:val="BodyText"/>
      </w:pPr>
      <w:r>
        <w:rPr>
          <w:bCs/>
          <w:b/>
        </w:rPr>
        <w:t xml:space="preserve">Example (Maven + SonarQube Cloud)</w:t>
      </w:r>
    </w:p>
    <w:p>
      <w:pPr>
        <w:pStyle w:val="SourceCode"/>
      </w:pPr>
      <w:r>
        <w:rPr>
          <w:rStyle w:val="VerbatimChar"/>
        </w:rPr>
        <w:t xml:space="preserve">- name: Run Tests and Coverage</w:t>
      </w:r>
      <w:r>
        <w:br/>
      </w:r>
      <w:r>
        <w:rPr>
          <w:rStyle w:val="VerbatimChar"/>
        </w:rPr>
        <w:t xml:space="preserve">  run: |</w:t>
      </w:r>
      <w:r>
        <w:br/>
      </w:r>
      <w:r>
        <w:rPr>
          <w:rStyle w:val="VerbatimChar"/>
        </w:rPr>
        <w:t xml:space="preserve">     mvn clean verify jacoco:report</w:t>
      </w:r>
      <w:r>
        <w:br/>
      </w:r>
      <w:r>
        <w:rPr>
          <w:rStyle w:val="VerbatimChar"/>
        </w:rPr>
        <w:t xml:space="preserve">- name: SonarQube Cloud Analysis</w:t>
      </w:r>
      <w:r>
        <w:br/>
      </w:r>
      <w:r>
        <w:rPr>
          <w:rStyle w:val="VerbatimChar"/>
        </w:rPr>
        <w:t xml:space="preserve">  run: mvn sonar:sonar -Dsonar.projectKey=myapp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numPr>
          <w:ilvl w:val="0"/>
          <w:numId w:val="1004"/>
        </w:numPr>
        <w:pStyle w:val="Compact"/>
      </w:pPr>
      <w:r>
        <w:t xml:space="preserve">Run your coverage tool locally. 2. Record total % and highlight low-coverage files. 3. Add new tests, rerun, and note real quality improvements (not just numbers).</w:t>
      </w:r>
    </w:p>
    <w:p>
      <w:pPr>
        <w:pStyle w:val="FirstParagraph"/>
      </w:pPr>
      <w:r>
        <w:rPr>
          <w:bCs/>
          <w:b/>
        </w:rPr>
        <w:t xml:space="preserve">Knowledge Check</w:t>
      </w:r>
    </w:p>
    <w:p>
      <w:pPr>
        <w:pStyle w:val="BodyText"/>
      </w:pPr>
      <w:r>
        <w:t xml:space="preserve">Why can 90% coverage still hide defects? How does mutation testing (PIT, Stryker, mutmut) reveal assertion strength?</w:t>
      </w:r>
    </w:p>
    <w:p>
      <w:pPr>
        <w:pStyle w:val="BodyText"/>
      </w:pPr>
      <w:r>
        <w:rPr>
          <w:bCs/>
          <w:b/>
        </w:rPr>
        <w:t xml:space="preserve">Project Task</w:t>
      </w:r>
    </w:p>
    <w:p>
      <w:pPr>
        <w:pStyle w:val="BodyText"/>
      </w:pPr>
      <w:r>
        <w:t xml:space="preserve">Submit a screenshot of your SonarQube Cloud dashboard with:</w:t>
      </w:r>
    </w:p>
    <w:p>
      <w:pPr>
        <w:numPr>
          <w:ilvl w:val="0"/>
          <w:numId w:val="1005"/>
        </w:numPr>
        <w:pStyle w:val="Compact"/>
      </w:pPr>
      <w:r>
        <w:t xml:space="preserve">Maintainability</w:t>
      </w:r>
      <w:r>
        <w:t xml:space="preserve"> </w:t>
      </w:r>
      <w:r>
        <w:rPr>
          <w:bCs/>
          <w:b/>
        </w:rPr>
        <w:t xml:space="preserve">Rating</w:t>
      </w:r>
      <w:r>
        <w:t xml:space="preserve"> </w:t>
      </w:r>
      <w:r>
        <w:t xml:space="preserve">A • Line coverage ≥ 80% •</w:t>
      </w:r>
      <w:r>
        <w:t xml:space="preserve"> </w:t>
      </w:r>
      <w:r>
        <w:rPr>
          <w:bCs/>
          <w:b/>
        </w:rPr>
        <w:t xml:space="preserve">Branch coverage ≥ 60%</w:t>
      </w:r>
      <w:r>
        <w:t xml:space="preserve"> </w:t>
      </w:r>
      <w:r>
        <w:t xml:space="preserve">• Technical debt ratio</w:t>
      </w:r>
      <w:r>
        <w:t xml:space="preserve"> </w:t>
      </w:r>
      <w:r>
        <w:rPr>
          <w:bCs/>
          <w:b/>
        </w:rPr>
        <w:t xml:space="preserve">≤ 5%</w:t>
      </w:r>
      <w:r>
        <w:t xml:space="preserve"> </w:t>
      </w:r>
      <w:r>
        <w:t xml:space="preserve">• 0 new code smells</w:t>
      </w:r>
    </w:p>
    <w:bookmarkEnd w:id="27"/>
    <w:bookmarkStart w:id="29" w:name="b.-turning-the-gates-on"/>
    <w:p>
      <w:pPr>
        <w:pStyle w:val="Heading2"/>
      </w:pPr>
      <w:r>
        <w:t xml:space="preserve">4b. Turning the Gates On</w:t>
      </w:r>
    </w:p>
    <w:p>
      <w:pPr>
        <w:pStyle w:val="FirstParagraph"/>
      </w:pPr>
      <w:r>
        <w:rPr>
          <w:bCs/>
          <w:b/>
        </w:rPr>
        <w:t xml:space="preserve">Your Analyze stage has been skipping since Week 0.</w:t>
      </w:r>
      <w:r>
        <w:t xml:space="preserve"> </w:t>
      </w:r>
      <w:r>
        <w:t xml:space="preserve">Every section of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 </w:t>
      </w:r>
      <w:r>
        <w:t xml:space="preserve">ships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reads those flags —</w:t>
      </w:r>
      <w:r>
        <w:t xml:space="preserve"> </w:t>
      </w:r>
      <w:r>
        <w:t xml:space="preserve">so while they say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the gate cannot fail, which means it also cannot pass.</w:t>
      </w:r>
    </w:p>
    <w:p>
      <w:pPr>
        <w:pStyle w:val="SourceCode"/>
      </w:pP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# Week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maintainability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Week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Flip one per day, each in its own commit</w:t>
      </w:r>
      <w:r>
        <w:t xml:space="preserve">, so a red build has exactly one</w:t>
      </w:r>
      <w:r>
        <w:t xml:space="preserve"> </w:t>
      </w:r>
      <w:r>
        <w:t xml:space="preserve">cause. Reader §4.5 explains why.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it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coverage report first appears (Day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maintainability.enabled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first analyses your project (Day 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8" w:name="project-task-make-a-gate-bite"/>
    <w:p>
      <w:pPr>
        <w:pStyle w:val="Heading3"/>
      </w:pPr>
      <w:r>
        <w:t xml:space="preserve">Project Task — Make a gate bite</w:t>
      </w:r>
    </w:p>
    <w:p>
      <w:pPr>
        <w:pStyle w:val="FirstParagraph"/>
      </w:pPr>
      <w:r>
        <w:rPr>
          <w:bCs/>
          <w:b/>
        </w:rPr>
        <w:t xml:space="preserve">Exit gate 2 asks for a run that failed the gate.</w:t>
      </w:r>
      <w:r>
        <w:t xml:space="preserve"> </w:t>
      </w:r>
      <w:r>
        <w:t xml:space="preserve">A green run does not prove a</w:t>
      </w:r>
      <w:r>
        <w:t xml:space="preserve"> </w:t>
      </w:r>
      <w:r>
        <w:t xml:space="preserve">gate works; only a red one does.</w:t>
      </w:r>
    </w:p>
    <w:p>
      <w:pPr>
        <w:numPr>
          <w:ilvl w:val="0"/>
          <w:numId w:val="1006"/>
        </w:numPr>
        <w:pStyle w:val="Compact"/>
      </w:pPr>
      <w:r>
        <w:t xml:space="preserve">With the flags on and everything green, delete or skip a test until coverage</w:t>
      </w:r>
      <w:r>
        <w:t xml:space="preserve"> </w:t>
      </w:r>
      <w:r>
        <w:t xml:space="preserve">drops below 80%.</w:t>
      </w:r>
    </w:p>
    <w:p>
      <w:pPr>
        <w:numPr>
          <w:ilvl w:val="0"/>
          <w:numId w:val="1006"/>
        </w:numPr>
        <w:pStyle w:val="Compact"/>
      </w:pPr>
      <w:r>
        <w:t xml:space="preserve">Push. Watch Analyze go red.</w:t>
      </w:r>
      <w:r>
        <w:t xml:space="preserve"> </w:t>
      </w:r>
      <w:r>
        <w:rPr>
          <w:bCs/>
          <w:b/>
        </w:rPr>
        <w:t xml:space="preserve">Save the run URL.</w:t>
      </w:r>
    </w:p>
    <w:p>
      <w:pPr>
        <w:numPr>
          <w:ilvl w:val="0"/>
          <w:numId w:val="1006"/>
        </w:numPr>
        <w:pStyle w:val="Compact"/>
      </w:pPr>
      <w:r>
        <w:t xml:space="preserve">Restore the test. Push. Watch it go green.</w:t>
      </w:r>
    </w:p>
    <w:p>
      <w:pPr>
        <w:pStyle w:val="FirstParagraph"/>
      </w:pPr>
      <w:r>
        <w:rPr>
          <w:bCs/>
          <w:b/>
        </w:rPr>
        <w:t xml:space="preserve">Failing run URL: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What the log said, in your words:</w:t>
      </w:r>
      <w:r>
        <w:t xml:space="preserve"> </w:t>
      </w:r>
      <w:r>
        <w:t xml:space="preserve">______________________________________</w:t>
      </w:r>
    </w:p>
    <w:p>
      <w:pPr>
        <w:pStyle w:val="BlockText"/>
      </w:pPr>
      <w:r>
        <w:rPr>
          <w:bCs/>
          <w:b/>
        </w:rPr>
        <w:t xml:space="preserve">This is the most important artifact of Week 2.</w:t>
      </w:r>
      <w:r>
        <w:t xml:space="preserve"> </w:t>
      </w:r>
      <w:r>
        <w:t xml:space="preserve">Anyone can show a green</w:t>
      </w:r>
      <w:r>
        <w:t xml:space="preserve"> </w:t>
      </w:r>
      <w:r>
        <w:t xml:space="preserve">pipeline. A red one, on purpose, with the restore beside it, proves the gate</w:t>
      </w:r>
      <w:r>
        <w:t xml:space="preserve"> </w:t>
      </w:r>
      <w:r>
        <w:t xml:space="preserve">is real.</w:t>
      </w:r>
    </w:p>
    <w:bookmarkEnd w:id="28"/>
    <w:bookmarkEnd w:id="29"/>
    <w:bookmarkStart w:id="30" w:name="cicd-automation-metrics"/>
    <w:p>
      <w:pPr>
        <w:pStyle w:val="Heading2"/>
      </w:pPr>
      <w:r>
        <w:t xml:space="preserve">5. CI/CD Automation &amp; Metrics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Continuous Integration / Delivery automates build–test–deploy. Quality gates and metrics maintain consistency.</w:t>
      </w:r>
    </w:p>
    <w:p>
      <w:pPr>
        <w:pStyle w:val="BodyText"/>
      </w:pPr>
      <w:r>
        <w:rPr>
          <w:bCs/>
          <w:b/>
        </w:rPr>
        <w:t xml:space="preserve">Example (GitHub Actions)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 Functional Tests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actions/checkout@v6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-v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Reports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rPr>
          <w:rStyle w:val="CommentTok"/>
        </w:rPr>
        <w:t xml:space="preserve">      # or a failing test suite uploads nothing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test-reports/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pStyle w:val="BodyText"/>
      </w:pPr>
      <w:r>
        <w:t xml:space="preserve">Create a workflow that runs unit + integration tests and uploads coverage. Observe what happens when a gate fails — how would you fix it?</w:t>
      </w:r>
    </w:p>
    <w:p>
      <w:pPr>
        <w:pStyle w:val="BodyText"/>
      </w:pPr>
      <w:r>
        <w:rPr>
          <w:bCs/>
          <w:b/>
        </w:rPr>
        <w:t xml:space="preserve">Advanced Extension</w:t>
      </w:r>
    </w:p>
    <w:p>
      <w:pPr>
        <w:pStyle w:val="BodyText"/>
      </w:pPr>
      <w:r>
        <w:t xml:space="preserve">Add static-analysis and security steps (Bandit/Snyk). Track DORA Metrics in your README: Deployment Frequency, Lead Time, Change Failure Rate, MTTR.</w:t>
      </w:r>
    </w:p>
    <w:bookmarkEnd w:id="30"/>
    <w:bookmarkStart w:id="31" w:name="X87ff7d86595bfa0724c2a9ea9ce0664efbbcf15"/>
    <w:p>
      <w:pPr>
        <w:pStyle w:val="Heading2"/>
      </w:pPr>
      <w:r>
        <w:t xml:space="preserve">6. Compliance &amp; Accessibility (Extended Quality)</w:t>
      </w:r>
    </w:p>
    <w:p>
      <w:pPr>
        <w:pStyle w:val="FirstParagraph"/>
      </w:pPr>
      <w:r>
        <w:rPr>
          <w:bCs/>
          <w:b/>
        </w:rPr>
        <w:t xml:space="preserve">Concept Summary</w:t>
      </w:r>
    </w:p>
    <w:p>
      <w:pPr>
        <w:pStyle w:val="BodyText"/>
      </w:pPr>
      <w:r>
        <w:t xml:space="preserve">Modern frameworks must respect accessibility (</w:t>
      </w:r>
      <w:r>
        <w:rPr>
          <w:bCs/>
          <w:b/>
        </w:rPr>
        <w:t xml:space="preserve">AODA requires WCAG 2.0 AA; this program gates at 2.1 AA</w:t>
      </w:r>
      <w:r>
        <w:t xml:space="preserve">) and privacy (PIPEDA).</w:t>
      </w:r>
    </w:p>
    <w:p>
      <w:pPr>
        <w:pStyle w:val="BodyText"/>
      </w:pPr>
      <w:r>
        <w:rPr>
          <w:bCs/>
          <w:b/>
        </w:rPr>
        <w:t xml:space="preserve">Checklist</w:t>
      </w:r>
    </w:p>
    <w:p>
      <w:pPr>
        <w:numPr>
          <w:ilvl w:val="0"/>
          <w:numId w:val="1007"/>
        </w:numPr>
        <w:pStyle w:val="Compact"/>
      </w:pPr>
      <w:r>
        <w:t xml:space="preserve">Keyboard navigation &amp; focus visible</w:t>
      </w:r>
    </w:p>
    <w:p>
      <w:pPr>
        <w:numPr>
          <w:ilvl w:val="0"/>
          <w:numId w:val="1007"/>
        </w:numPr>
        <w:pStyle w:val="Compact"/>
      </w:pPr>
      <w:r>
        <w:t xml:space="preserve">Alt text for non-text content</w:t>
      </w:r>
    </w:p>
    <w:p>
      <w:pPr>
        <w:numPr>
          <w:ilvl w:val="0"/>
          <w:numId w:val="1007"/>
        </w:numPr>
        <w:pStyle w:val="Compact"/>
      </w:pPr>
      <w:r>
        <w:t xml:space="preserve">Proper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attributes</w:t>
      </w:r>
    </w:p>
    <w:p>
      <w:pPr>
        <w:numPr>
          <w:ilvl w:val="0"/>
          <w:numId w:val="1007"/>
        </w:numPr>
        <w:pStyle w:val="Compact"/>
      </w:pPr>
      <w:r>
        <w:t xml:space="preserve">Synthetic/anonymised test data only</w:t>
      </w:r>
    </w:p>
    <w:p>
      <w:pPr>
        <w:numPr>
          <w:ilvl w:val="0"/>
          <w:numId w:val="1007"/>
        </w:numPr>
        <w:pStyle w:val="Compact"/>
      </w:pPr>
      <w:r>
        <w:t xml:space="preserve">Logs and artifacts expire and are encrypted</w:t>
      </w:r>
    </w:p>
    <w:p>
      <w:pPr>
        <w:pStyle w:val="FirstParagraph"/>
      </w:pPr>
      <w:r>
        <w:rPr>
          <w:bCs/>
          <w:b/>
        </w:rPr>
        <w:t xml:space="preserve">Try It Yourself</w:t>
      </w:r>
    </w:p>
    <w:p>
      <w:pPr>
        <w:pStyle w:val="BodyText"/>
      </w:pPr>
      <w:r>
        <w:t xml:space="preserve">Run an axe-core or Lighthouse scan on your System Under Test. List each</w:t>
      </w:r>
      <w:r>
        <w:t xml:space="preserve"> </w:t>
      </w:r>
      <w:r>
        <w:t xml:space="preserve">violation, a proposed fix, an owner and an ETA.</w:t>
      </w:r>
    </w:p>
    <w:bookmarkEnd w:id="31"/>
    <w:bookmarkStart w:id="32" w:name="b.-the-gherkin-decision"/>
    <w:p>
      <w:pPr>
        <w:pStyle w:val="Heading2"/>
      </w:pPr>
      <w:r>
        <w:t xml:space="preserve">6b. The Gherkin Decision</w:t>
      </w:r>
    </w:p>
    <w:p>
      <w:pPr>
        <w:pStyle w:val="FirstParagraph"/>
      </w:pPr>
      <w:r>
        <w:t xml:space="preserve">Reader §2.9.</w:t>
      </w:r>
      <w:r>
        <w:t xml:space="preserve"> </w:t>
      </w:r>
      <w:r>
        <w:rPr>
          <w:bCs/>
          <w:b/>
        </w:rPr>
        <w:t xml:space="preserve">You are assessed on the justification, not on which way you go</w:t>
      </w:r>
      <w:r>
        <w:t xml:space="preserve"> </w:t>
      </w:r>
      <w:r>
        <w:t xml:space="preserve">—</w:t>
      </w:r>
      <w:r>
        <w:t xml:space="preserve"> </w:t>
      </w:r>
      <w:r>
        <w:t xml:space="preserve">a well-reasoned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scores above an unreasoned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deciding question, and it must be answered with a name:</w:t>
      </w:r>
    </w:p>
    <w:p>
      <w:pPr>
        <w:pStyle w:val="BlockText"/>
      </w:pPr>
      <w:r>
        <w:rPr>
          <w:iCs/>
          <w:i/>
        </w:rPr>
        <w:t xml:space="preserve">Who outside engineering will read these scenarios and be capable of telling</w:t>
      </w:r>
      <w:r>
        <w:rPr>
          <w:iCs/>
          <w:i/>
        </w:rPr>
        <w:t xml:space="preserve"> </w:t>
      </w:r>
      <w:r>
        <w:rPr>
          <w:iCs/>
          <w:i/>
        </w:rPr>
        <w:t xml:space="preserve">you one of them is wrong?</w:t>
      </w:r>
    </w:p>
    <w:p>
      <w:pPr>
        <w:pStyle w:val="FirstParagraph"/>
      </w:pPr>
      <w:r>
        <w:t xml:space="preserve">If the honest answer is</w:t>
      </w:r>
      <w:r>
        <w:t xml:space="preserve"> </w:t>
      </w:r>
      <w:r>
        <w:t xml:space="preserve">“</w:t>
      </w:r>
      <w:r>
        <w:t xml:space="preserve">nobody</w:t>
      </w:r>
      <w:r>
        <w:t xml:space="preserve">”</w:t>
      </w:r>
      <w:r>
        <w:t xml:space="preserve">, the correct decision is to decline.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☐ / Decline 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person named</w:t>
            </w:r>
            <w:r>
              <w:t xml:space="preserve"> </w:t>
            </w:r>
            <w:r>
              <w:t xml:space="preserve">(or the word</w:t>
            </w:r>
            <w:r>
              <w:t xml:space="preserve"> </w:t>
            </w:r>
            <w:r>
              <w:rPr>
                <w:iCs/>
                <w:i/>
              </w:rPr>
              <w:t xml:space="preserve">nobody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would buy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would cost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would change my 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</w:tbl>
    <w:p>
      <w:pPr>
        <w:pStyle w:val="BodyText"/>
      </w:pPr>
      <w:r>
        <w:t xml:space="preserve">Record all five in</w:t>
      </w:r>
      <w:r>
        <w:t xml:space="preserve"> </w:t>
      </w:r>
      <w:r>
        <w:rPr>
          <w:rStyle w:val="VerbatimChar"/>
        </w:rPr>
        <w:t xml:space="preserve">docs/test-strategy.md</w:t>
      </w:r>
      <w:r>
        <w:t xml:space="preserve">.</w:t>
      </w:r>
      <w:r>
        <w:t xml:space="preserve"> </w:t>
      </w:r>
      <w:r>
        <w:rPr>
          <w:bCs/>
          <w:b/>
        </w:rPr>
        <w:t xml:space="preserve">Exit gate 7 reads that file.</w:t>
      </w:r>
    </w:p>
    <w:p>
      <w:pPr>
        <w:pStyle w:val="BlockText"/>
      </w:pPr>
      <w:r>
        <w:rPr>
          <w:bCs/>
          <w:b/>
        </w:rPr>
        <w:t xml:space="preserve">The failure mode to avoid.</w:t>
      </w:r>
      <w:r>
        <w:t xml:space="preserve"> </w:t>
      </w:r>
      <w:r>
        <w:t xml:space="preserve">Steps degenerating into</w:t>
      </w:r>
      <w:r>
        <w:t xml:space="preserve"> </w:t>
      </w:r>
      <w:r>
        <w:rPr>
          <w:rStyle w:val="VerbatimChar"/>
        </w:rPr>
        <w:t xml:space="preserve">When I click the "Submit" button</w:t>
      </w:r>
      <w:r>
        <w:t xml:space="preserve"> </w:t>
      </w:r>
      <w:r>
        <w:t xml:space="preserve">— a UI script in an awkward DSL, with all of Gherkin’s cost</w:t>
      </w:r>
      <w:r>
        <w:t xml:space="preserve"> </w:t>
      </w:r>
      <w:r>
        <w:t xml:space="preserve">and none of its benefit. If your first three steps look like that, you have</w:t>
      </w:r>
      <w:r>
        <w:t xml:space="preserve"> </w:t>
      </w:r>
      <w:r>
        <w:t xml:space="preserve">answered the deciding question without meaning to.</w:t>
      </w:r>
    </w:p>
    <w:bookmarkEnd w:id="32"/>
    <w:bookmarkStart w:id="33" w:name="reflection-questions"/>
    <w:p>
      <w:pPr>
        <w:pStyle w:val="Heading2"/>
      </w:pPr>
      <w:r>
        <w:t xml:space="preserve">7. Reflection Questions</w:t>
      </w:r>
    </w:p>
    <w:p>
      <w:pPr>
        <w:numPr>
          <w:ilvl w:val="0"/>
          <w:numId w:val="1008"/>
        </w:numPr>
        <w:pStyle w:val="Compact"/>
      </w:pPr>
      <w:r>
        <w:t xml:space="preserve">How does framework structure influence collaboration?</w:t>
      </w:r>
    </w:p>
    <w:p>
      <w:pPr>
        <w:numPr>
          <w:ilvl w:val="0"/>
          <w:numId w:val="1008"/>
        </w:numPr>
        <w:pStyle w:val="Compact"/>
      </w:pPr>
      <w:r>
        <w:t xml:space="preserve">What trade-offs exist between E2E and integration coverage?</w:t>
      </w:r>
    </w:p>
    <w:p>
      <w:pPr>
        <w:numPr>
          <w:ilvl w:val="0"/>
          <w:numId w:val="1008"/>
        </w:numPr>
        <w:pStyle w:val="Compact"/>
      </w:pPr>
      <w:r>
        <w:t xml:space="preserve">Which CI/CD metric would you optimise first? Why?</w:t>
      </w:r>
    </w:p>
    <w:p>
      <w:pPr>
        <w:numPr>
          <w:ilvl w:val="0"/>
          <w:numId w:val="1008"/>
        </w:numPr>
        <w:pStyle w:val="Compact"/>
      </w:pPr>
      <w:r>
        <w:t xml:space="preserve">How do accessibility and privacy testing extend functional quality?</w:t>
      </w:r>
    </w:p>
    <w:bookmarkEnd w:id="33"/>
    <w:bookmarkStart w:id="34" w:name="progress-checklist"/>
    <w:p>
      <w:pPr>
        <w:pStyle w:val="Heading2"/>
      </w:pPr>
      <w:r>
        <w:t xml:space="preserve">8. Progress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APIs and data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user journeys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modular SOLID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 code smells +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&amp;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breadth + assertion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&amp;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against WCAG 2.1 AA (AODA’s floor is 2.0 AA) + PIPEDA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build health and DORA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E2E suite passes twice consecutively</w:t>
      </w:r>
      <w:r>
        <w:t xml:space="preserve"> </w:t>
      </w:r>
      <w:r>
        <w:t xml:space="preserve">— run it twice, not once (exit gate 6)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Gherkin decision recorded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docs/test-strategy.md</w:t>
      </w:r>
      <w:r>
        <w:t xml:space="preserve">, with the person named or the word</w:t>
      </w:r>
      <w:r>
        <w:t xml:space="preserve"> </w:t>
      </w:r>
      <w:r>
        <w:rPr>
          <w:iCs/>
          <w:i/>
        </w:rPr>
        <w:t xml:space="preserve">nobody</w:t>
      </w:r>
      <w:r>
        <w:t xml:space="preserve"> </w:t>
      </w:r>
      <w:r>
        <w:t xml:space="preserve">(exit gate 7)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run that failed the gate</w:t>
      </w:r>
      <w:r>
        <w:t xml:space="preserve">, with its URL saved (exit gate 2)</w:t>
      </w:r>
    </w:p>
    <w:p>
      <w:pPr>
        <w:numPr>
          <w:ilvl w:val="0"/>
          <w:numId w:val="1009"/>
        </w:numPr>
        <w:pStyle w:val="Compact"/>
      </w:pPr>
      <w:r>
        <w:t xml:space="preserve">☐ Branch coverage ≥ 60% as well as line ≥ 80%</w:t>
      </w:r>
    </w:p>
    <w:bookmarkEnd w:id="34"/>
    <w:bookmarkStart w:id="35" w:name="references-apa-format"/>
    <w:p>
      <w:pPr>
        <w:pStyle w:val="Heading2"/>
      </w:pPr>
      <w:r>
        <w:t xml:space="preserve">9. References (APA Format)</w:t>
      </w:r>
    </w:p>
    <w:p>
      <w:pPr>
        <w:pStyle w:val="FirstParagraph"/>
      </w:pPr>
      <w:r>
        <w:t xml:space="preserve">Humble, J., &amp; Farley, D. (2010). Continuous Delivery: Reliable Software Releases through Build, Test, and Deployment Automation. Addison-Wesley. Martin, R. C. (2008). Clean Code: A Handbook of Agile Software Craftsmanship. Prentice Hall. Meszaros, G. (2007). xUnit Test Patterns: Refactoring Test Code. Addison-Wesley. McCabe, T. J. (1976). A complexity measure. IEEE Transactions on Software Engineering, 2 (4), 308–320. https://doi.org/10.1109/TSE.1976.233837</w:t>
      </w:r>
    </w:p>
    <w:bookmarkEnd w:id="35"/>
    <w:bookmarkEnd w:id="36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— Learner Workbook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