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Program</w:t>
      </w:r>
      <w:r>
        <w:t xml:space="preserve"> </w:t>
      </w:r>
      <w:r>
        <w:t xml:space="preserve">Overview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in-one-paragraph"/>
    <w:p>
      <w:pPr>
        <w:pStyle w:val="Heading1"/>
      </w:pPr>
      <w:r>
        <w:t xml:space="preserve">In one paragraph</w:t>
      </w:r>
    </w:p>
    <w:p>
      <w:pPr>
        <w:pStyle w:val="FirstParagraph"/>
      </w:pPr>
      <w:r>
        <w:t xml:space="preserve">A four-week, sixty-hour practitioner program that takes an engineer from requirements analysis to a defended, fully automated quality pipeline. Learners choose one real system on the first morning and spend four weeks making it testable, then verifiable, then trustworthy — finishing with an eight-stage CI/CD pipeline enforcing gates across functional correctness, performance, security and accessibility, and a fifteen-minute defence of the evidence they have accumulated.</w:t>
      </w:r>
    </w:p>
    <w:p>
      <w:r>
        <w:pict>
          <v:rect style="width:0;height:1.5pt" o:hralign="center" o:hrstd="t" o:hr="t"/>
        </w:pict>
      </w:r>
    </w:p>
    <w:bookmarkEnd w:id="20"/>
    <w:bookmarkStart w:id="21" w:name="who-it-is-for"/>
    <w:p>
      <w:pPr>
        <w:pStyle w:val="Heading1"/>
      </w:pPr>
      <w:r>
        <w:t xml:space="preserve">Who it is for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testers moving to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structured path into code, with architecture discipline from day one rather than bolted on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Automation engineers without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design, SOLID applied to test code, and the non-functional disciplines most automation engineers never touch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Developers who own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testing layers, what each can and cannot catch, and how to enforce quality as policy rather than as a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leads and consultants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repeatable method to standardise a team on, and the vocabulary to argue for it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working knowledge of one programming language and basic Git. No prior automation experience required.</w:t>
      </w:r>
    </w:p>
    <w:p>
      <w:pPr>
        <w:pStyle w:val="BodyText"/>
      </w:pPr>
      <w:r>
        <w:rPr>
          <w:bCs/>
          <w:b/>
        </w:rPr>
        <w:t xml:space="preserve">The command line is no longer assumed.</w:t>
      </w:r>
      <w:r>
        <w:t xml:space="preserve"> </w:t>
      </w:r>
      <w:r>
        <w:t xml:space="preserve">It used to be listed here as a</w:t>
      </w:r>
      <w:r>
        <w:t xml:space="preserve"> </w:t>
      </w:r>
      <w:r>
        <w:t xml:space="preserve">prerequisite while the program taught none of it and ran it on every day. Week 0</w:t>
      </w:r>
      <w:r>
        <w:t xml:space="preserve"> </w:t>
      </w:r>
      <w:r>
        <w:t xml:space="preserve">§0.3 now covers exit codes, the two output streams and the dozen commands the</w:t>
      </w:r>
      <w:r>
        <w:t xml:space="preserve"> </w:t>
      </w:r>
      <w:r>
        <w:t xml:space="preserve">program uses, self-paced and outside the sixty hours;</w:t>
      </w:r>
      <w:r>
        <w:t xml:space="preserve"> </w:t>
      </w:r>
      <w:r>
        <w:rPr>
          <w:bCs/>
          <w:b/>
        </w:rPr>
        <w:t xml:space="preserve">Week 2 Day 5 teaches the</w:t>
      </w:r>
      <w:r>
        <w:rPr>
          <w:bCs/>
          <w:b/>
        </w:rPr>
        <w:t xml:space="preserve"> </w:t>
      </w:r>
      <w:r>
        <w:rPr>
          <w:bCs/>
          <w:b/>
        </w:rPr>
        <w:t xml:space="preserve">pipeline half</w:t>
      </w:r>
      <w:r>
        <w:t xml:space="preserve"> </w:t>
      </w:r>
      <w:r>
        <w:t xml:space="preserve">— why a stage passes when it should have failed — and Appendix F</w:t>
      </w:r>
      <w:r>
        <w:t xml:space="preserve"> </w:t>
      </w:r>
      <w:r>
        <w:t xml:space="preserve">is the reference behind both.</w:t>
      </w:r>
    </w:p>
    <w:p>
      <w:pPr>
        <w:pStyle w:val="BodyText"/>
      </w:pPr>
      <w:r>
        <w:rPr>
          <w:bCs/>
          <w:b/>
        </w:rPr>
        <w:t xml:space="preserve">Before Day 1:</w:t>
      </w:r>
      <w:r>
        <w:t xml:space="preserve"> </w:t>
      </w:r>
      <w:r>
        <w:t xml:space="preserve">a self-paced</w:t>
      </w:r>
      <w:r>
        <w:t xml:space="preserve"> </w:t>
      </w:r>
      <w:r>
        <w:rPr>
          <w:bCs/>
          <w:b/>
        </w:rPr>
        <w:t xml:space="preserve">Week 0</w:t>
      </w:r>
      <w:r>
        <w:t xml:space="preserve"> </w:t>
      </w:r>
      <w:r>
        <w:t xml:space="preserve">covers every account and tool the program depends on — code host, language toolchain, Docker, CI, static analysis, load, security and accessibility tooling, and a deploy target. It ships with a starter repository and a verification script, and is explicitly outside the sixty contact hours. A cohort that arrives without it loses most of Day 1, which is the day the whole four-week spine is established.</w:t>
      </w:r>
    </w:p>
    <w:p>
      <w:pPr>
        <w:pStyle w:val="BodyText"/>
      </w:pPr>
      <w:r>
        <w:rPr>
          <w:bCs/>
          <w:b/>
        </w:rPr>
        <w:t xml:space="preserve">Languages supported:</w:t>
      </w:r>
      <w:r>
        <w:t xml:space="preserve"> </w:t>
      </w:r>
      <w:r>
        <w:t xml:space="preserve">Java, C#, Python and C++ — each with a working starter</w:t>
      </w:r>
      <w:r>
        <w:t xml:space="preserve"> </w:t>
      </w:r>
      <w:r>
        <w:t xml:space="preserve">profile implementing the same three-verb contract, so the pipeline never learns</w:t>
      </w:r>
      <w:r>
        <w:t xml:space="preserve"> </w:t>
      </w:r>
      <w:r>
        <w:t xml:space="preserve">which one you chose.</w:t>
      </w:r>
    </w:p>
    <w:p>
      <w:pPr>
        <w:pStyle w:val="BodyText"/>
      </w:pPr>
      <w:r>
        <w:t xml:space="preserve">Worked examples are weighted toward Java and Python, with C# and C++ shown</w:t>
      </w:r>
      <w:r>
        <w:t xml:space="preserve"> </w:t>
      </w:r>
      <w:r>
        <w:t xml:space="preserve">wherever the</w:t>
      </w:r>
      <w:r>
        <w:t xml:space="preserve"> </w:t>
      </w:r>
      <w:r>
        <w:rPr>
          <w:iCs/>
          <w:i/>
        </w:rPr>
        <w:t xml:space="preserve">syntax</w:t>
      </w:r>
      <w:r>
        <w:t xml:space="preserve"> </w:t>
      </w:r>
      <w:r>
        <w:t xml:space="preserve">changes the lesson rather than merely restating it.</w:t>
      </w:r>
      <w:r>
        <w:t xml:space="preserve"> </w:t>
      </w:r>
      <w:r>
        <w:rPr>
          <w:bCs/>
          <w:b/>
        </w:rPr>
        <w:t xml:space="preserve">Appendix B gives every SOLID principle and Clean Code pattern in all four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Appendix E every design pattern</w:t>
      </w:r>
      <w:r>
        <w:t xml:space="preserve">, as before-and-after pairs you can</w:t>
      </w:r>
      <w:r>
        <w:t xml:space="preserve"> </w:t>
      </w:r>
      <w:r>
        <w:t xml:space="preserve">template from. The transferable skill is the category, not the tool — Appendix C</w:t>
      </w:r>
      <w:r>
        <w:t xml:space="preserve"> </w:t>
      </w:r>
      <w:r>
        <w:t xml:space="preserve">makes that explicit with comparison tables per category.</w:t>
      </w:r>
    </w:p>
    <w:p>
      <w:r>
        <w:pict>
          <v:rect style="width:0;height:1.5pt" o:hralign="center" o:hrstd="t" o:hr="t"/>
        </w:pict>
      </w:r>
    </w:p>
    <w:bookmarkEnd w:id="21"/>
    <w:bookmarkStart w:id="22" w:name="what-makes-it-different"/>
    <w:p>
      <w:pPr>
        <w:pStyle w:val="Heading1"/>
      </w:pPr>
      <w:r>
        <w:t xml:space="preserve">What makes it different</w:t>
      </w:r>
    </w:p>
    <w:p>
      <w:pPr>
        <w:pStyle w:val="FirstParagraph"/>
      </w:pPr>
      <w:r>
        <w:rPr>
          <w:bCs/>
          <w:b/>
        </w:rPr>
        <w:t xml:space="preserve">It is one project, not four courses.</w:t>
      </w:r>
      <w:r>
        <w:t xml:space="preserve"> </w:t>
      </w:r>
      <w:r>
        <w:t xml:space="preserve">Most quality curricula teach unit testing, then automation, then performance, as separate modules with separate toy exercises. This program uses a single System Under Test for all four weeks, and each week’s deliverable is the next week’s raw material. A learner finishes with one repository containing four weeks of compounding work, not four disconnected exercises.</w:t>
      </w:r>
    </w:p>
    <w:p>
      <w:pPr>
        <w:pStyle w:val="BodyText"/>
      </w:pPr>
      <w:r>
        <w:rPr>
          <w:bCs/>
          <w:b/>
        </w:rPr>
        <w:t xml:space="preserve">It covers the whole quality surface.</w:t>
      </w:r>
      <w:r>
        <w:t xml:space="preserve"> </w:t>
      </w:r>
      <w:r>
        <w:t xml:space="preserve">Functional and non-functional. Most programs stop at end-to-end automation. This one continues through performance, load, stress, security, accessibility and observability — and integrates all of them into one pipeline.</w:t>
      </w:r>
    </w:p>
    <w:p>
      <w:pPr>
        <w:pStyle w:val="BodyText"/>
      </w:pPr>
      <w:r>
        <w:rPr>
          <w:bCs/>
          <w:b/>
        </w:rPr>
        <w:t xml:space="preserve">It is multi-language by design.</w:t>
      </w:r>
      <w:r>
        <w:t xml:space="preserve"> </w:t>
      </w:r>
      <w:r>
        <w:t xml:space="preserve">Consultants and engineers land on whatever stack the client has. Teaching only Java produces engineers who are useless on a Python project.</w:t>
      </w:r>
    </w:p>
    <w:p>
      <w:pPr>
        <w:pStyle w:val="BodyText"/>
      </w:pPr>
      <w:r>
        <w:rPr>
          <w:bCs/>
          <w:b/>
        </w:rPr>
        <w:t xml:space="preserve">It sequences for the mindset shift, not the syllabus.</w:t>
      </w:r>
      <w:r>
        <w:t xml:space="preserve"> </w:t>
      </w:r>
      <w:r>
        <w:t xml:space="preserve">Week 1 is test-driven development, deliberately with no specification DSL. Much of the audience is moving from manual testing, and a language for</w:t>
      </w:r>
      <w:r>
        <w:t xml:space="preserve"> </w:t>
      </w:r>
      <w:r>
        <w:rPr>
          <w:iCs/>
          <w:i/>
        </w:rPr>
        <w:t xml:space="preserve">describing</w:t>
      </w:r>
      <w:r>
        <w:t xml:space="preserve"> </w:t>
      </w:r>
      <w:r>
        <w:t xml:space="preserve">behaviour taught first keeps them in a documentation mindset; red-green-refactor taught first moves them into a developer one. Gherkin arrives in Week 2, after learners have end-to-end automation for it to wrap — so the question becomes a concrete engineering decision about code in front of them rather than an abstract preference. It is taught with an honest account of its costs: the debugging indirection, the fragile step binding, and the reuse pressure that degrades scenarios into UI scripts in an awkward DSL.</w:t>
      </w:r>
    </w:p>
    <w:p>
      <w:pPr>
        <w:pStyle w:val="BodyText"/>
      </w:pPr>
      <w:r>
        <w:rPr>
          <w:bCs/>
          <w:b/>
        </w:rPr>
        <w:t xml:space="preserve">It teaches the argument, not just the tooling.</w:t>
      </w:r>
      <w:r>
        <w:t xml:space="preserve"> </w:t>
      </w:r>
      <w:r>
        <w:t xml:space="preserve">A week is spent on evidence and communication — how to present quality data to people who do not read test reports, how to show trend rather than snapshot, and how to state remaining risk rather than conceal it.</w:t>
      </w:r>
    </w:p>
    <w:p>
      <w:pPr>
        <w:pStyle w:val="BodyText"/>
      </w:pPr>
      <w:r>
        <w:rPr>
          <w:bCs/>
          <w:b/>
        </w:rPr>
        <w:t xml:space="preserve">It is grounded in standards.</w:t>
      </w:r>
      <w:r>
        <w:t xml:space="preserve"> </w:t>
      </w:r>
      <w:r>
        <w:t xml:space="preserve">ISO/IEC 25010 for the quality model, WCAG 2.1 AA for accessibility, OWASP Top 10 for security scope, and DORA for delivery metrics.</w:t>
      </w:r>
    </w:p>
    <w:p>
      <w:r>
        <w:pict>
          <v:rect style="width:0;height:1.5pt" o:hralign="center" o:hrstd="t" o:hr="t"/>
        </w:pict>
      </w:r>
    </w:p>
    <w:bookmarkEnd w:id="22"/>
    <w:bookmarkStart w:id="27" w:name="the-four-weeks"/>
    <w:p>
      <w:pPr>
        <w:pStyle w:val="Heading1"/>
      </w:pPr>
      <w:r>
        <w:t xml:space="preserve">The four weeks</w:t>
      </w:r>
    </w:p>
    <w:bookmarkStart w:id="23" w:name="week-1-make-it-testable"/>
    <w:p>
      <w:pPr>
        <w:pStyle w:val="Heading2"/>
      </w:pPr>
      <w:r>
        <w:t xml:space="preserve">Week 1 — Make it testable</w:t>
      </w:r>
    </w:p>
    <w:p>
      <w:pPr>
        <w:pStyle w:val="FirstParagraph"/>
      </w:pPr>
      <w:r>
        <w:t xml:space="preserve">Requirements analysis, writing acceptance criteria that can become tests,</w:t>
      </w:r>
      <w:r>
        <w:t xml:space="preserve"> </w:t>
      </w:r>
      <w:r>
        <w:rPr>
          <w:bCs/>
          <w:b/>
        </w:rPr>
        <w:t xml:space="preserve">test-driven development</w:t>
      </w:r>
      <w:r>
        <w:t xml:space="preserve">, unit testing, and SOLID applied to test design. Deliberately no specification DSL — the week is about developer discipline.</w:t>
      </w:r>
    </w:p>
    <w:p>
      <w:pPr>
        <w:pStyle w:val="BodyText"/>
      </w:pPr>
      <w:r>
        <w:rPr>
          <w:bCs/>
          <w:b/>
        </w:rPr>
        <w:t xml:space="preserve">Learner ends the week with:</w:t>
      </w:r>
      <w:r>
        <w:t xml:space="preserve"> </w:t>
      </w:r>
      <w:r>
        <w:t xml:space="preserve">a chosen system in a repository, at least eight testable acceptance criteria, a green unit suite driven by TDD, a documented refactor, and a measured coverage baseline.</w:t>
      </w:r>
    </w:p>
    <w:bookmarkEnd w:id="23"/>
    <w:bookmarkStart w:id="24" w:name="week-2-make-it-verifiable"/>
    <w:p>
      <w:pPr>
        <w:pStyle w:val="Heading2"/>
      </w:pPr>
      <w:r>
        <w:t xml:space="preserve">Week 2 — Make it verifiable</w:t>
      </w:r>
    </w:p>
    <w:p>
      <w:pPr>
        <w:pStyle w:val="FirstParagraph"/>
      </w:pPr>
      <w:r>
        <w:t xml:space="preserve">Integration testing across databases, messaging, authentication and service contracts. End-to-end automation.</w:t>
      </w:r>
      <w:r>
        <w:t xml:space="preserve"> </w:t>
      </w:r>
      <w:r>
        <w:rPr>
          <w:bCs/>
          <w:b/>
        </w:rPr>
        <w:t xml:space="preserve">Gherkin as an optional layer — and what it costs.</w:t>
      </w:r>
      <w:r>
        <w:t xml:space="preserve"> </w:t>
      </w:r>
      <w:r>
        <w:t xml:space="preserve">Framework architecture, and the design patterns Week 1 named, built into it. Static analysis. A CI pipeline with enforced gates.</w:t>
      </w:r>
    </w:p>
    <w:p>
      <w:pPr>
        <w:pStyle w:val="BodyText"/>
      </w:pPr>
      <w:r>
        <w:rPr>
          <w:bCs/>
          <w:b/>
        </w:rPr>
        <w:t xml:space="preserve">Learner ends the week with:</w:t>
      </w:r>
      <w:r>
        <w:t xml:space="preserve"> </w:t>
      </w:r>
      <w:r>
        <w:t xml:space="preserve">a layered framework, integration and E2E suites derived from their Week 1 criteria, a reasoned decision on whether Gherkin is worth its cost, and a pipeline running Build → Test → Analyze that enforces 80% coverage and Grade A maintainability.</w:t>
      </w:r>
    </w:p>
    <w:bookmarkEnd w:id="24"/>
    <w:bookmarkStart w:id="25" w:name="week-3-make-it-trustworthy"/>
    <w:p>
      <w:pPr>
        <w:pStyle w:val="Heading2"/>
      </w:pPr>
      <w:r>
        <w:t xml:space="preserve">Week 3 — Make it trustworthy</w:t>
      </w:r>
    </w:p>
    <w:p>
      <w:pPr>
        <w:pStyle w:val="FirstParagraph"/>
      </w:pPr>
      <w:r>
        <w:t xml:space="preserve">Performance, load and stress testing. Workload modelling and percentile interpretation. Security scanning and finding triage. Accessibility auditing against WCAG 2.1 AA. Observability. Thresholds expressed as code.</w:t>
      </w:r>
    </w:p>
    <w:p>
      <w:pPr>
        <w:pStyle w:val="BodyText"/>
      </w:pPr>
      <w:r>
        <w:rPr>
          <w:bCs/>
          <w:b/>
        </w:rPr>
        <w:t xml:space="preserve">Learner ends the week with:</w:t>
      </w:r>
      <w:r>
        <w:t xml:space="preserve"> </w:t>
      </w:r>
      <w:r>
        <w:t xml:space="preserve">three further pipeline stages enforcing p95 ≤ 500 ms, zero critical and zero high CVEs, and an accessibility score ≥ 95 with no critical or serious violations — plus one documented tuning experiment showing a measured before and after.</w:t>
      </w:r>
    </w:p>
    <w:bookmarkEnd w:id="25"/>
    <w:bookmarkStart w:id="26" w:name="week-4-assemble-and-defend"/>
    <w:p>
      <w:pPr>
        <w:pStyle w:val="Heading2"/>
      </w:pPr>
      <w:r>
        <w:t xml:space="preserve">Week 4 — Assemble and defend</w:t>
      </w:r>
    </w:p>
    <w:p>
      <w:pPr>
        <w:pStyle w:val="FirstParagraph"/>
      </w:pPr>
      <w:r>
        <w:t xml:space="preserve">No new tooling. A gap audit, then closing what is open, then completing the pipeline with deploy and smoke stages, then building the evidence, then defending it.</w:t>
      </w:r>
    </w:p>
    <w:p>
      <w:pPr>
        <w:pStyle w:val="BodyText"/>
      </w:pPr>
      <w:r>
        <w:rPr>
          <w:bCs/>
          <w:b/>
        </w:rPr>
        <w:t xml:space="preserve">Learner ends the program with:</w:t>
      </w:r>
      <w:r>
        <w:t xml:space="preserve"> </w:t>
      </w:r>
      <w:r>
        <w:t xml:space="preserve">an eight-stage pipeline green from a single commit, a four-week metrics report showing trend, and a defended presentation.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hat-a-graduate-can-do"/>
    <w:p>
      <w:pPr>
        <w:pStyle w:val="Heading1"/>
      </w:pPr>
      <w:r>
        <w:t xml:space="preserve">What a graduate can do</w:t>
      </w:r>
    </w:p>
    <w:p>
      <w:pPr>
        <w:numPr>
          <w:ilvl w:val="0"/>
          <w:numId w:val="1001"/>
        </w:numPr>
        <w:pStyle w:val="Compact"/>
      </w:pPr>
      <w:r>
        <w:t xml:space="preserve">Translate requirements into automated test plans</w:t>
      </w:r>
    </w:p>
    <w:p>
      <w:pPr>
        <w:numPr>
          <w:ilvl w:val="0"/>
          <w:numId w:val="1001"/>
        </w:numPr>
        <w:pStyle w:val="Compact"/>
      </w:pPr>
      <w:r>
        <w:t xml:space="preserve">Judge whether a specification DSL is justified for a project, and defend the decision</w:t>
      </w:r>
    </w:p>
    <w:p>
      <w:pPr>
        <w:numPr>
          <w:ilvl w:val="0"/>
          <w:numId w:val="1001"/>
        </w:numPr>
        <w:pStyle w:val="Compact"/>
      </w:pPr>
      <w:r>
        <w:t xml:space="preserve">Design maintainable test architectures using Clean Code principles</w:t>
      </w:r>
    </w:p>
    <w:p>
      <w:pPr>
        <w:numPr>
          <w:ilvl w:val="0"/>
          <w:numId w:val="1001"/>
        </w:numPr>
        <w:pStyle w:val="Compact"/>
      </w:pPr>
      <w:r>
        <w:t xml:space="preserve">Build layered test suites across unit, integration and end-to-end</w:t>
      </w:r>
    </w:p>
    <w:p>
      <w:pPr>
        <w:numPr>
          <w:ilvl w:val="0"/>
          <w:numId w:val="1001"/>
        </w:numPr>
        <w:pStyle w:val="Compact"/>
      </w:pPr>
      <w:r>
        <w:t xml:space="preserve">Integrate static analysis, coverage and performance testing into CI/CD</w:t>
      </w:r>
    </w:p>
    <w:p>
      <w:pPr>
        <w:numPr>
          <w:ilvl w:val="0"/>
          <w:numId w:val="1001"/>
        </w:numPr>
        <w:pStyle w:val="Compact"/>
      </w:pPr>
      <w:r>
        <w:t xml:space="preserve">Interpret quality metrics for data-driven decisions</w:t>
      </w:r>
    </w:p>
    <w:p>
      <w:pPr>
        <w:numPr>
          <w:ilvl w:val="0"/>
          <w:numId w:val="1001"/>
        </w:numPr>
        <w:pStyle w:val="Compact"/>
      </w:pPr>
      <w:r>
        <w:t xml:space="preserve">Conduct and report non-functional testing across performance, security and accessibility</w:t>
      </w:r>
    </w:p>
    <w:p>
      <w:pPr>
        <w:numPr>
          <w:ilvl w:val="0"/>
          <w:numId w:val="1001"/>
        </w:numPr>
        <w:pStyle w:val="Compact"/>
      </w:pPr>
      <w:r>
        <w:t xml:space="preserve">Present a complete automation project from requirement through continuous delivery</w:t>
      </w:r>
    </w:p>
    <w:p>
      <w:r>
        <w:pict>
          <v:rect style="width:0;height:1.5pt" o:hralign="center" o:hrstd="t" o:hr="t"/>
        </w:pict>
      </w:r>
    </w:p>
    <w:bookmarkEnd w:id="28"/>
    <w:bookmarkStart w:id="29" w:name="shape-and-delivery"/>
    <w:p>
      <w:pPr>
        <w:pStyle w:val="Heading1"/>
      </w:pPr>
      <w:r>
        <w:t xml:space="preserve">Shape and delivery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phases.</w:t>
            </w:r>
            <w:r>
              <w:t xml:space="preserve"> </w:t>
            </w:r>
            <w:r>
              <w:rPr>
                <w:bCs/>
                <w:b/>
              </w:rPr>
              <w:t xml:space="preserve">The week is a reference schedule, not a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schedule: 5 days × 180 minutes = 15 hours per phase, 60 hours over four. A phase ends when its exit gate is met, which some cohorts reach in four days and others in six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Project-based, hands-on, mixed-experience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 for 8–16; defences run in parallel rooms above 5 — 15 minutes plus questions is 20 per learner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Delivery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Instructor-led cohort · self-paced with the workbooks · blended</w:t>
            </w:r>
          </w:p>
        </w:tc>
      </w:tr>
    </w:tbl>
    <w:p>
      <w:pPr>
        <w:pStyle w:val="BodyText"/>
      </w:pPr>
      <w:r>
        <w:t xml:space="preserve">Each day follows a consistent rhythm: concept, live demonstration, extended hands-on work, then debrief. The hands-on block is always the longest, and it is the one block that is never cut for time.</w:t>
      </w:r>
    </w:p>
    <w:p>
      <w:pPr>
        <w:pStyle w:val="BodyText"/>
      </w:pPr>
      <w:r>
        <w:rPr>
          <w:bCs/>
          <w:b/>
        </w:rPr>
        <w:t xml:space="preserve">Core and extension.</w:t>
      </w:r>
      <w:r>
        <w:t xml:space="preserve"> </w:t>
      </w:r>
      <w:r>
        <w:t xml:space="preserve">Each phase marks its content as core — assessed by the exit gate, or required by the next phase — or as extension, which deepens the week without being either. If a cohort is running behind, extension material goes first, then lecture content, then the schedule stretches. The</w:t>
      </w:r>
      <w:r>
        <w:t xml:space="preserve"> </w:t>
      </w:r>
      <w:r>
        <w:rPr>
          <w:iCs/>
          <w:i/>
        </w:rPr>
        <w:t xml:space="preserve">Program Specification</w:t>
      </w:r>
      <w:r>
        <w:t xml:space="preserve"> </w:t>
      </w:r>
      <w:r>
        <w:t xml:space="preserve">sets this out in full under</w:t>
      </w:r>
      <w:r>
        <w:t xml:space="preserve"> </w:t>
      </w:r>
      <w:r>
        <w:rPr>
          <w:iCs/>
          <w:i/>
        </w:rPr>
        <w:t xml:space="preserve">Pacing</w:t>
      </w:r>
      <w:r>
        <w:t xml:space="preserve">, including what is fixed and what is not.</w:t>
      </w:r>
    </w:p>
    <w:p>
      <w:pPr>
        <w:pStyle w:val="BodyText"/>
      </w:pPr>
      <w:r>
        <w:rPr>
          <w:bCs/>
          <w:b/>
        </w:rPr>
        <w:t xml:space="preserve">Setup is separate.</w:t>
      </w:r>
      <w:r>
        <w:t xml:space="preserve"> </w:t>
      </w:r>
      <w:r>
        <w:t xml:space="preserve">Week 0 is two to three hours of self-paced account creation and installation, done before the cohort begins. It ends in a verification script, and a screenshot of a clean run is a reasonable price of admission.</w:t>
      </w:r>
    </w:p>
    <w:p>
      <w:r>
        <w:pict>
          <v:rect style="width:0;height:1.5pt" o:hralign="center" o:hrstd="t" o:hr="t"/>
        </w:pict>
      </w:r>
    </w:p>
    <w:bookmarkEnd w:id="29"/>
    <w:bookmarkStart w:id="30" w:name="assessment"/>
    <w:p>
      <w:pPr>
        <w:pStyle w:val="Heading1"/>
      </w:pPr>
      <w:r>
        <w:t xml:space="preserve">Assessment</w:t>
      </w:r>
    </w:p>
    <w:p>
      <w:pPr>
        <w:pStyle w:val="FirstParagraph"/>
      </w:pPr>
      <w:r>
        <w:t xml:space="preserve">Continuous rather than terminal. Each week ends at an</w:t>
      </w:r>
      <w:r>
        <w:t xml:space="preserve"> </w:t>
      </w:r>
      <w:r>
        <w:rPr>
          <w:bCs/>
          <w:b/>
        </w:rPr>
        <w:t xml:space="preserve">exit gate</w:t>
      </w:r>
      <w:r>
        <w:t xml:space="preserve"> </w:t>
      </w:r>
      <w:r>
        <w:t xml:space="preserve">— a checklist of artifacts verified before the next week begins. A learner who is falling behind is visible in Week 2, not at the end.</w:t>
      </w:r>
    </w:p>
    <w:p>
      <w:pPr>
        <w:pStyle w:val="BodyText"/>
      </w:pPr>
      <w:r>
        <w:t xml:space="preserve">The final assessment is weighted across seven categories,</w:t>
      </w:r>
      <w:r>
        <w:t xml:space="preserve"> </w:t>
      </w:r>
      <w:r>
        <w:rPr>
          <w:bCs/>
          <w:b/>
        </w:rPr>
        <w:t xml:space="preserve">each with four</w:t>
      </w:r>
      <w:r>
        <w:rPr>
          <w:bCs/>
          <w:b/>
        </w:rPr>
        <w:t xml:space="preserve"> </w:t>
      </w:r>
      <w:r>
        <w:rPr>
          <w:bCs/>
          <w:b/>
        </w:rPr>
        <w:t xml:space="preserve">defined marking bands</w:t>
      </w:r>
      <w:r>
        <w:t xml:space="preserve"> </w:t>
      </w:r>
      <w:r>
        <w:t xml:space="preserve">— what</w:t>
      </w:r>
      <w:r>
        <w:t xml:space="preserve"> </w:t>
      </w:r>
      <w:r>
        <w:rPr>
          <w:iCs/>
          <w:i/>
        </w:rPr>
        <w:t xml:space="preserve">Distinguished</w:t>
      </w:r>
      <w:r>
        <w:t xml:space="preserve">,</w:t>
      </w:r>
      <w:r>
        <w:t xml:space="preserve"> </w:t>
      </w:r>
      <w:r>
        <w:rPr>
          <w:iCs/>
          <w:i/>
        </w:rPr>
        <w:t xml:space="preserve">Proficient</w:t>
      </w:r>
      <w:r>
        <w:t xml:space="preserve">,</w:t>
      </w:r>
      <w:r>
        <w:t xml:space="preserve"> </w:t>
      </w:r>
      <w:r>
        <w:rPr>
          <w:iCs/>
          <w:i/>
        </w:rPr>
        <w:t xml:space="preserve">Developing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Not yet</w:t>
      </w:r>
      <w:r>
        <w:t xml:space="preserve"> </w:t>
      </w:r>
      <w:r>
        <w:t xml:space="preserve">look like in that category, named against evidence an assessor can</w:t>
      </w:r>
      <w:r>
        <w:t xml:space="preserve"> </w:t>
      </w:r>
      <w:r>
        <w:t xml:space="preserve">point at rather than adjectives. The Program Specification carries the</w:t>
      </w:r>
      <w:r>
        <w:t xml:space="preserve"> </w:t>
      </w:r>
      <w:r>
        <w:t xml:space="preserve">descriptors and the pass conditions; the Week 4 instructor guide carries a</w:t>
      </w:r>
      <w:r>
        <w:t xml:space="preserve"> </w:t>
      </w:r>
      <w:r>
        <w:rPr>
          <w:bCs/>
          <w:b/>
        </w:rPr>
        <w:t xml:space="preserve">worked exemplar</w:t>
      </w:r>
      <w:r>
        <w:t xml:space="preserve"> </w:t>
      </w:r>
      <w:r>
        <w:t xml:space="preserve">— a full defence, marked, with the reasoning and the three</w:t>
      </w:r>
      <w:r>
        <w:t xml:space="preserve"> </w:t>
      </w:r>
      <w:r>
        <w:t xml:space="preserve">seams where two assessors most often disagree.</w:t>
      </w:r>
    </w:p>
    <w:p>
      <w:pPr>
        <w:pStyle w:val="BodyText"/>
      </w:pPr>
      <w:r>
        <w:t xml:space="preserve">The final assessment is weighted across seven categories: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Code &amp;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Non-Functional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Analysis &amp;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Capstone Defence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Transferable judgement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10%</w:t>
            </w:r>
          </w:p>
        </w:tc>
      </w:tr>
    </w:tbl>
    <w:p>
      <w:pPr>
        <w:pStyle w:val="BodyText"/>
      </w:pPr>
      <w:r>
        <w:t xml:space="preserve">Because the capstone assembles four weeks of gated work rather than being built in the final week, a strong finish cannot disguise three weak weeks — the metrics report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four-week record.</w:t>
      </w:r>
    </w:p>
    <w:p>
      <w:r>
        <w:pict>
          <v:rect style="width:0;height:1.5pt" o:hralign="center" o:hrstd="t" o:hr="t"/>
        </w:pict>
      </w:r>
    </w:p>
    <w:bookmarkEnd w:id="30"/>
    <w:bookmarkStart w:id="31" w:name="toolchain"/>
    <w:p>
      <w:pPr>
        <w:pStyle w:val="Heading1"/>
      </w:pPr>
      <w:r>
        <w:t xml:space="preserve">Toolchain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&amp;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JUnit, pytest, NUnit, xUnit, GoogleTest, REST Assured, WireMock, TestContainers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&amp; BDD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Selenium, Playwright, Cypress, Cucumber, Reqnroll (formerly SpecFlow)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Pact, Spring Cloud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 Server, SonarQube Cloud, ESLint, StyleCop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JaCoCo, Coverlet, pytest-cov, gcovr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PIT, MutMut, Stryker, Mull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k6, JMeter, Locust, Gatling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ZAP, Snyk, Trivy — scoped to the OWASP Top 10:2025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axe-core, Lighthouse, Pa11y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Actions, Jenkins, Azure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Allure, Grafana</w:t>
            </w:r>
          </w:p>
        </w:tc>
      </w:tr>
    </w:tbl>
    <w:p>
      <w:pPr>
        <w:pStyle w:val="BodyText"/>
      </w:pPr>
      <w:r>
        <w:t xml:space="preserve">Tools are taught as instances of a category, not as the point. A learner who has used k6 should be able to pick up Gatling; the transferable skill is workload modelling and percentile interpretation, not one tool’s syntax.</w:t>
      </w:r>
    </w:p>
    <w:p>
      <w:r>
        <w:pict>
          <v:rect style="width:0;height:1.5pt" o:hralign="center" o:hrstd="t" o:hr="t"/>
        </w:pict>
      </w:r>
    </w:p>
    <w:bookmarkEnd w:id="31"/>
    <w:bookmarkStart w:id="32" w:name="materials"/>
    <w:p>
      <w:pPr>
        <w:pStyle w:val="Heading1"/>
      </w:pPr>
      <w:r>
        <w:t xml:space="preserve">Materials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readers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Word documents (Week 0, four weeks, and the Week 5 bonus), 234 pages — 15 · 48 · 57 · 51 · 54 · 9, measured by rendering the built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files, not 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 — Week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and Credential: publishing safely, an evidence pack, and a certificate a stranger can verify. Optional, outside the four 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Field Guide</w:t>
            </w:r>
            <w:r>
              <w:t xml:space="preserve"> </w:t>
            </w:r>
            <w:r>
              <w:t xml:space="preserve">— Appendices A–F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reference work, not part of the four weeks.</w:t>
            </w:r>
            <w:r>
              <w:t xml:space="preserve"> </w:t>
            </w:r>
            <w:r>
              <w:t xml:space="preserve">~35,000 words, none of it on the clock and none of it assessed except Appendix C §C.1 and §C.12. It is written from practice: every entry names what a thing</w:t>
            </w:r>
            <w:r>
              <w:t xml:space="preserve"> </w:t>
            </w:r>
            <w:r>
              <w:rPr>
                <w:iCs/>
                <w:i/>
              </w:rPr>
              <w:t xml:space="preserve">costs</w:t>
            </w:r>
            <w:r>
              <w:t xml:space="preserve"> </w:t>
            </w:r>
            <w:r>
              <w:t xml:space="preserve">and when it is the wrong choice, and it is usable by an engineer who never took the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Guide — Appendix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matter and map: what the volume is, and which part answers which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Guide — Appendix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SOLID principle and Clean Code pattern as before-and-after pairs in Java, C#, Python and C++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Taught</w:t>
            </w:r>
            <w:r>
              <w:t xml:space="preserve"> </w:t>
            </w:r>
            <w:r>
              <w:t xml:space="preserve">— Field Guide C §C.1, §C.12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start-to-finish order for automating a project from nothing, and how to pick up a tool you have never used. Scheduled into Week 1 Day 1 and Week 2 Day 4, and carried by a rubric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Guide — Appendix C, the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 cookbook: comparison tables per category, runnable examples, and what each tool cannot do — including</w:t>
            </w:r>
            <w:r>
              <w:t xml:space="preserve"> </w:t>
            </w:r>
            <w:r>
              <w:rPr>
                <w:bCs/>
                <w:b/>
              </w:rPr>
              <w:t xml:space="preserve">§C.13</w:t>
            </w:r>
            <w:r>
              <w:t xml:space="preserve">, the disconnected and air-gapped path, for clients whose network cannot reach a SaaS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Guide — Appendix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an object, an interface and a value</w:t>
            </w:r>
            <w:r>
              <w:t xml:space="preserve"> </w:t>
            </w:r>
            <w:r>
              <w:rPr>
                <w:bCs/>
                <w:b/>
              </w:rPr>
              <w:t xml:space="preserve">are</w:t>
            </w:r>
            <w:r>
              <w:t xml:space="preserve"> </w:t>
            </w:r>
            <w:r>
              <w:t xml:space="preserve">— six concepts in four languages, readable by somebody who cannot yet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Guide — Appendix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Twenty-one design patterns in four languages, each with the cost it charges and the condition under which it is the wrong choice. Taught as vocabulary in Week 1 §4.9 and built into the framework in Week 2 §3.5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Guide — Appendix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command line, and what a pipeline actually runs: exit codes, streams, quoting,</w:t>
            </w:r>
            <w:r>
              <w:t xml:space="preserve"> </w:t>
            </w:r>
            <w:r>
              <w:rPr>
                <w:rStyle w:val="VerbatimChar"/>
              </w:rPr>
              <w:t xml:space="preserve">pipefail</w:t>
            </w:r>
            <w:r>
              <w:t xml:space="preserve">, the text tools, line endings, and what differs across Linux, macOS and Git Bash. Basics self-paced in Week 0 §0.3; the pipeline half taught in Week 2 Day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study — NorthStar Outfitters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running e-commerce platform with fourteen planted defects across every testing layer, two release switches for the deployment-incident and locator-rename exercises, and a script that proves every defect is still reachable on each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files — eight-stage pipeline, quality-gate configuration, framework skeleton, 12 document templates, setup verification and gate-checking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Embedded exercises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250 inline</w:t>
            </w:r>
            <w:r>
              <w:t xml:space="preserve"> </w:t>
            </w:r>
            <w:r>
              <w:t xml:space="preserve">— 72 in Week 1, 61 in Week 2, 81 in Week 3, 36 in Week 4. Counted in the readers as</w:t>
            </w:r>
            <w:r>
              <w:t xml:space="preserve"> </w:t>
            </w:r>
            <w:r>
              <w:rPr>
                <w:iCs/>
                <w:i/>
              </w:rPr>
              <w:t xml:space="preserve">Try It Yourself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Knowledge Check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Project Task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Reflection</w:t>
            </w:r>
            <w:r>
              <w:t xml:space="preserve">, by</w:t>
            </w:r>
            <w:r>
              <w:t xml:space="preserve"> </w:t>
            </w:r>
            <w:r>
              <w:rPr>
                <w:rStyle w:val="VerbatimChar"/>
              </w:rPr>
              <w:t xml:space="preserve">check_counts.py</w:t>
            </w:r>
            <w:r>
              <w:t xml:space="preserve">, which fails the build if this line disagrees with the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Learner workbooks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documents — five weekly, the Appendices workbook, the Carry-Forward Ledger and the Self-Paced Guide — plus a ninth for the case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Instructor 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documents with day-by-day plans, quizzes, answer keys and rubrics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Overview, specification, design rationale, visuals 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urrent-status"/>
    <w:p>
      <w:pPr>
        <w:pStyle w:val="Heading1"/>
      </w:pPr>
      <w:r>
        <w:t xml:space="preserve">Current status</w:t>
      </w:r>
    </w:p>
    <w:p>
      <w:pPr>
        <w:pStyle w:val="FirstParagraph"/>
      </w:pPr>
      <w:r>
        <w:rPr>
          <w:bCs/>
          <w:b/>
        </w:rPr>
        <w:t xml:space="preserve">Edition 1.0, complete enough to teach, under review before first delivery.</w:t>
      </w:r>
    </w:p>
    <w:p>
      <w:pPr>
        <w:pStyle w:val="BodyText"/>
      </w:pPr>
      <w:r>
        <w:t xml:space="preserve">All six readers, the eight learner workbooks and the six instructor guides are</w:t>
      </w:r>
      <w:r>
        <w:t xml:space="preserve"> </w:t>
      </w:r>
      <w:r>
        <w:t xml:space="preserve">rebuilt, correctly sequenced and internally consistent. The seven diagrams are</w:t>
      </w:r>
      <w:r>
        <w:t xml:space="preserve"> </w:t>
      </w:r>
      <w:r>
        <w:t xml:space="preserve">drawn and embedded, and the reference System Under Test is built — three</w:t>
      </w:r>
      <w:r>
        <w:t xml:space="preserve"> </w:t>
      </w:r>
      <w:r>
        <w:t xml:space="preserve">implementations against one contract, with nine planted defects and a conformance</w:t>
      </w:r>
      <w:r>
        <w:t xml:space="preserve"> </w:t>
      </w:r>
      <w:r>
        <w:t xml:space="preserve">suite that asserts they are still present.</w:t>
      </w:r>
    </w:p>
    <w:p>
      <w:pPr>
        <w:pStyle w:val="BodyText"/>
      </w:pPr>
      <w:r>
        <w:rPr>
          <w:bCs/>
          <w:b/>
        </w:rPr>
        <w:t xml:space="preserve">One item remains, and it cannot be closed by writing.</w:t>
      </w:r>
      <w:r>
        <w:t xml:space="preserve"> </w:t>
      </w:r>
      <w:r>
        <w:t xml:space="preserve">The case studies are</w:t>
      </w:r>
      <w:r>
        <w:t xml:space="preserve"> </w:t>
      </w:r>
      <w:r>
        <w:t xml:space="preserve">invented composites and need real anonymised engagements. The certificate item</w:t>
      </w:r>
      <w:r>
        <w:t xml:space="preserve"> </w:t>
      </w:r>
      <w:r>
        <w:t xml:space="preserve">that used to sit beside it is closed: Week 5 ships a certificate template, a</w:t>
      </w:r>
      <w:r>
        <w:t xml:space="preserve"> </w:t>
      </w:r>
      <w:r>
        <w:t xml:space="preserve">verification script, and three issuing models for the instructor to choose</w:t>
      </w:r>
      <w:r>
        <w:t xml:space="preserve"> </w:t>
      </w:r>
      <w:r>
        <w:t xml:space="preserve">between.</w:t>
      </w:r>
    </w:p>
    <w:p>
      <w:pPr>
        <w:pStyle w:val="BodyText"/>
      </w:pPr>
      <w:r>
        <w:t xml:space="preserve">A full audit — forty-three rounds, five hundred and ninety-two findings, and</w:t>
      </w:r>
      <w:r>
        <w:t xml:space="preserve"> </w:t>
      </w:r>
      <w:r>
        <w:t xml:space="preserve">several occasions on which a previous round’s fixes broke something else — is</w:t>
      </w:r>
      <w:r>
        <w:t xml:space="preserve"> </w:t>
      </w:r>
      <w:r>
        <w:t xml:space="preserve">published as the</w:t>
      </w:r>
      <w:r>
        <w:t xml:space="preserve"> </w:t>
      </w:r>
      <w:r>
        <w:rPr>
          <w:bCs/>
          <w:b/>
        </w:rPr>
        <w:t xml:space="preserve">Gap Register</w:t>
      </w:r>
      <w:r>
        <w:t xml:space="preserve"> </w:t>
      </w:r>
      <w:r>
        <w:t xml:space="preserve">in the review pack, alongside the Reviewer’s</w:t>
      </w:r>
      <w:r>
        <w:t xml:space="preserve"> </w:t>
      </w:r>
      <w:r>
        <w:t xml:space="preserve">Guide, which discloses what is still missing. Neither is in the student pack:</w:t>
      </w:r>
      <w:r>
        <w:t xml:space="preserve"> </w:t>
      </w:r>
      <w:r>
        <w:t xml:space="preserve">they are written for somebody evaluating or delivering the program rather than</w:t>
      </w:r>
      <w:r>
        <w:t xml:space="preserve"> </w:t>
      </w:r>
      <w:r>
        <w:t xml:space="preserve">taking it.</w:t>
      </w:r>
    </w:p>
    <w:bookmarkEnd w:id="33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Overview</dc:title>
  <dc:creator/>
  <cp:keywords/>
  <dcterms:created xsi:type="dcterms:W3CDTF">2026-08-31T02:46:49Z</dcterms:created>
  <dcterms:modified xsi:type="dcterms:W3CDTF">2026-08-31T02:46:49Z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