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w:t>
      </w:r>
      <w:r>
        <w:t xml:space="preserve"> </w:t>
      </w:r>
      <w:r>
        <w:t xml:space="preserve">Specification</w:t>
      </w:r>
    </w:p>
    <w:p>
      <w:pPr>
        <w:pStyle w:val="Subtitle"/>
      </w:pPr>
      <w:r>
        <w:t xml:space="preserve">Project</w:t>
      </w:r>
      <w:r>
        <w:t xml:space="preserve"> </w:t>
      </w:r>
      <w:r>
        <w:t xml:space="preserve">Work</w:t>
      </w:r>
      <w:r>
        <w:t xml:space="preserve"> </w:t>
      </w:r>
      <w:r>
        <w:t xml:space="preserve">Automation,</w:t>
      </w:r>
      <w:r>
        <w:t xml:space="preserve"> </w:t>
      </w:r>
      <w:r>
        <w:t xml:space="preserve">Clean</w:t>
      </w:r>
      <w:r>
        <w:t xml:space="preserve"> </w:t>
      </w:r>
      <w:r>
        <w:t xml:space="preserve">Code</w:t>
      </w:r>
      <w:r>
        <w:t xml:space="preserve"> </w:t>
      </w:r>
      <w:r>
        <w:t xml:space="preserve">&amp;</w:t>
      </w:r>
      <w:r>
        <w:t xml:space="preserve"> </w:t>
      </w:r>
      <w:r>
        <w:t xml:space="preserve">Software</w:t>
      </w:r>
      <w:r>
        <w:t xml:space="preserve"> </w:t>
      </w:r>
      <w:r>
        <w:t xml:space="preserve">Quality</w:t>
      </w:r>
      <w:r>
        <w:t xml:space="preserve"> </w:t>
      </w:r>
      <w:r>
        <w:t xml:space="preserve">Engineering</w:t>
      </w:r>
      <w:r>
        <w:t xml:space="preserve"> </w:t>
      </w:r>
      <w:r>
        <w:t xml:space="preserve">—</w:t>
      </w:r>
      <w:r>
        <w:t xml:space="preserve"> </w:t>
      </w:r>
      <w:r>
        <w:t xml:space="preserve">Canadian</w:t>
      </w:r>
      <w:r>
        <w:t xml:space="preserve"> </w:t>
      </w:r>
      <w:r>
        <w:t xml:space="preserve">Edition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goal"/>
    <w:p>
      <w:pPr>
        <w:pStyle w:val="Heading1"/>
      </w:pPr>
      <w:r>
        <w:t xml:space="preserve">Goal</w:t>
      </w:r>
    </w:p>
    <w:p>
      <w:pPr>
        <w:pStyle w:val="FirstParagraph"/>
      </w:pPr>
      <w:r>
        <w:t xml:space="preserve">Equip engineers with the technical, architectural and analytical skills to build, execute and maintain automated testing systems that validate software functionality, performance, security, reliability and maintainability — from concept through CI/CD deployment.</w:t>
      </w:r>
    </w:p>
    <w:bookmarkEnd w:id="20"/>
    <w:bookmarkStart w:id="21" w:name="format"/>
    <w:p>
      <w:pPr>
        <w:pStyle w:val="Heading1"/>
      </w:pPr>
      <w:r>
        <w:t xml:space="preserve">Format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Duration</w:t>
            </w:r>
          </w:p>
        </w:tc>
        <w:tc>
          <w:tcPr/>
          <w:p>
            <w:pPr>
              <w:pStyle w:val="Compact"/>
              <w:jc w:val="left"/>
            </w:pPr>
            <w:r>
              <w:t xml:space="preserve">4 phases.</w:t>
            </w:r>
            <w:r>
              <w:t xml:space="preserve"> </w:t>
            </w:r>
            <w:r>
              <w:rPr>
                <w:bCs/>
                <w:b/>
              </w:rPr>
              <w:t xml:space="preserve">60 hours is the reference schedule, not a limit</w:t>
            </w:r>
            <w:r>
              <w:t xml:space="preserve"> </w:t>
            </w:r>
            <w:r>
              <w:t xml:space="preserve">— see</w:t>
            </w:r>
            <w:r>
              <w:t xml:space="preserve"> </w:t>
            </w:r>
            <w:r>
              <w:rPr>
                <w:iCs/>
                <w:i/>
              </w:rPr>
              <w:t xml:space="preserve">Pacing</w:t>
            </w:r>
            <w:r>
              <w:t xml:space="preserve"> </w:t>
            </w:r>
            <w:r>
              <w:t xml:space="preserve">below</w:t>
            </w:r>
          </w:p>
        </w:tc>
      </w:tr>
      <w:tr>
        <w:tc>
          <w:tcPr/>
          <w:p>
            <w:pPr>
              <w:pStyle w:val="Compact"/>
              <w:jc w:val="left"/>
            </w:pPr>
            <w:r>
              <w:rPr>
                <w:bCs/>
                <w:b/>
              </w:rPr>
              <w:t xml:space="preserve">Structure</w:t>
            </w:r>
          </w:p>
        </w:tc>
        <w:tc>
          <w:tcPr/>
          <w:p>
            <w:pPr>
              <w:pStyle w:val="Compact"/>
              <w:jc w:val="left"/>
            </w:pPr>
            <w:r>
              <w:t xml:space="preserve">Week 0 (setup, self-paced) · 4 phases, one per week at reference pace · plus appendices</w:t>
            </w:r>
          </w:p>
        </w:tc>
      </w:tr>
      <w:tr>
        <w:tc>
          <w:tcPr/>
          <w:p>
            <w:pPr>
              <w:pStyle w:val="Compact"/>
              <w:jc w:val="left"/>
            </w:pPr>
            <w:r>
              <w:rPr>
                <w:bCs/>
                <w:b/>
              </w:rPr>
              <w:t xml:space="preserve">Contact time</w:t>
            </w:r>
          </w:p>
        </w:tc>
        <w:tc>
          <w:tcPr/>
          <w:p>
            <w:pPr>
              <w:pStyle w:val="Compact"/>
              <w:jc w:val="left"/>
            </w:pPr>
            <w:r>
              <w:t xml:space="preserve">Reference schedule: 5 days × 180 minutes = 15 hours per phase. Cohorts run faster and slower and both are correct</w:t>
            </w:r>
          </w:p>
        </w:tc>
      </w:tr>
      <w:tr>
        <w:tc>
          <w:tcPr/>
          <w:p>
            <w:pPr>
              <w:pStyle w:val="Compact"/>
              <w:jc w:val="left"/>
            </w:pPr>
            <w:r>
              <w:rPr>
                <w:bCs/>
                <w:b/>
              </w:rPr>
              <w:t xml:space="preserve">Delivery</w:t>
            </w:r>
          </w:p>
        </w:tc>
        <w:tc>
          <w:tcPr/>
          <w:p>
            <w:pPr>
              <w:pStyle w:val="Compact"/>
              <w:jc w:val="left"/>
            </w:pPr>
            <w:r>
              <w:t xml:space="preserve">Project-based, progressively layered, mixed-experience teams</w:t>
            </w:r>
          </w:p>
        </w:tc>
      </w:tr>
      <w:tr>
        <w:tc>
          <w:tcPr/>
          <w:p>
            <w:pPr>
              <w:pStyle w:val="Compact"/>
              <w:jc w:val="left"/>
            </w:pPr>
            <w:r>
              <w:rPr>
                <w:bCs/>
                <w:b/>
              </w:rPr>
              <w:t xml:space="preserve">Continuity</w:t>
            </w:r>
          </w:p>
        </w:tc>
        <w:tc>
          <w:tcPr/>
          <w:p>
            <w:pPr>
              <w:pStyle w:val="Compact"/>
              <w:jc w:val="left"/>
            </w:pPr>
            <w:r>
              <w:rPr>
                <w:bCs/>
                <w:b/>
              </w:rPr>
              <w:t xml:space="preserve">One System Under Test across all four weeks</w:t>
            </w:r>
            <w:r>
              <w:t xml:space="preserve"> </w:t>
            </w:r>
            <w:r>
              <w:t xml:space="preserve">— see</w:t>
            </w:r>
            <w:r>
              <w:t xml:space="preserve"> </w:t>
            </w:r>
            <w:r>
              <w:rPr>
                <w:iCs/>
                <w:i/>
              </w:rPr>
              <w:t xml:space="preserve">Program Design — The Project Spine</w:t>
            </w:r>
          </w:p>
        </w:tc>
      </w:tr>
      <w:tr>
        <w:tc>
          <w:tcPr/>
          <w:p>
            <w:pPr>
              <w:pStyle w:val="Compact"/>
              <w:jc w:val="left"/>
            </w:pPr>
            <w:r>
              <w:rPr>
                <w:bCs/>
                <w:b/>
              </w:rPr>
              <w:t xml:space="preserve">Languages</w:t>
            </w:r>
          </w:p>
        </w:tc>
        <w:tc>
          <w:tcPr/>
          <w:p>
            <w:pPr>
              <w:pStyle w:val="Compact"/>
              <w:jc w:val="left"/>
            </w:pPr>
            <w:r>
              <w:t xml:space="preserve">Java, C#, Python, C++ — a starter profile ships for each</w:t>
            </w:r>
          </w:p>
        </w:tc>
      </w:tr>
      <w:tr>
        <w:tc>
          <w:tcPr/>
          <w:p>
            <w:pPr>
              <w:pStyle w:val="Compact"/>
              <w:jc w:val="left"/>
            </w:pPr>
            <w:r>
              <w:rPr>
                <w:bCs/>
                <w:b/>
              </w:rPr>
              <w:t xml:space="preserve">Bonus material</w:t>
            </w:r>
          </w:p>
        </w:tc>
        <w:tc>
          <w:tcPr/>
          <w:p>
            <w:pPr>
              <w:pStyle w:val="Compact"/>
              <w:jc w:val="left"/>
            </w:pPr>
            <w:r>
              <w:rPr>
                <w:bCs/>
                <w:b/>
              </w:rPr>
              <w:t xml:space="preserve">Week 5 — Portfolio and Credential</w:t>
            </w:r>
            <w:r>
              <w:t xml:space="preserve">, optional and outside the reference schedule, like Week 0.</w:t>
            </w:r>
            <w:r>
              <w:t xml:space="preserve"> </w:t>
            </w:r>
            <w:r>
              <w:rPr>
                <w:bCs/>
                <w:b/>
              </w:rPr>
              <w:t xml:space="preserve">Appendix B</w:t>
            </w:r>
            <w:r>
              <w:t xml:space="preserve"> </w:t>
            </w:r>
            <w:r>
              <w:t xml:space="preserve">(SOLID and Clean Code in all four languages) is reference material.</w:t>
            </w:r>
            <w:r>
              <w:t xml:space="preserve"> </w:t>
            </w:r>
            <w:r>
              <w:rPr>
                <w:bCs/>
                <w:b/>
              </w:rPr>
              <w:t xml:space="preserve">Appendix C</w:t>
            </w:r>
            <w:r>
              <w:t xml:space="preserve"> </w:t>
            </w:r>
            <w:r>
              <w:t xml:space="preserve">is not: §C.1 and §C.12 are taught and assessed — see</w:t>
            </w:r>
            <w:r>
              <w:t xml:space="preserve"> </w:t>
            </w:r>
            <w:r>
              <w:rPr>
                <w:iCs/>
                <w:i/>
              </w:rPr>
              <w:t xml:space="preserve">Pacing</w:t>
            </w:r>
            <w:r>
              <w:t xml:space="preserve"> </w:t>
            </w:r>
            <w:r>
              <w:t xml:space="preserve">and the rubric</w:t>
            </w:r>
          </w:p>
        </w:tc>
      </w:tr>
      <w:tr>
        <w:tc>
          <w:tcPr/>
          <w:p>
            <w:pPr>
              <w:pStyle w:val="Compact"/>
              <w:jc w:val="left"/>
            </w:pPr>
            <w:r>
              <w:rPr>
                <w:bCs/>
                <w:b/>
              </w:rPr>
              <w:t xml:space="preserve">Language of instruction</w:t>
            </w:r>
          </w:p>
        </w:tc>
        <w:tc>
          <w:tcPr/>
          <w:p>
            <w:pPr>
              <w:pStyle w:val="Compact"/>
              <w:jc w:val="left"/>
            </w:pPr>
            <w:r>
              <w:t xml:space="preserve">Canadian English</w:t>
            </w:r>
          </w:p>
        </w:tc>
      </w:tr>
    </w:tbl>
    <w:p>
      <w:r>
        <w:pict>
          <v:rect style="width:0;height:1.5pt" o:hralign="center" o:hrstd="t" o:hr="t"/>
        </w:pict>
      </w:r>
    </w:p>
    <w:bookmarkEnd w:id="21"/>
    <w:bookmarkStart w:id="25" w:name="pacing-what-four-weeks-means-here"/>
    <w:p>
      <w:pPr>
        <w:pStyle w:val="Heading1"/>
      </w:pPr>
      <w:r>
        <w:t xml:space="preserve">Pacing — what</w:t>
      </w:r>
      <w:r>
        <w:t xml:space="preserve"> </w:t>
      </w:r>
      <w:r>
        <w:t xml:space="preserve">“</w:t>
      </w:r>
      <w:r>
        <w:t xml:space="preserve">four weeks</w:t>
      </w:r>
      <w:r>
        <w:t xml:space="preserve">”</w:t>
      </w:r>
      <w:r>
        <w:t xml:space="preserve"> </w:t>
      </w:r>
      <w:r>
        <w:t xml:space="preserve">means here</w:t>
      </w:r>
    </w:p>
    <w:p>
      <w:pPr>
        <w:pStyle w:val="FirstParagraph"/>
      </w:pPr>
      <w:r>
        <w:rPr>
          <w:bCs/>
          <w:b/>
        </w:rPr>
        <w:t xml:space="preserve">The four weeks are a reference schedule, not a container the content has to</w:t>
      </w:r>
      <w:r>
        <w:rPr>
          <w:bCs/>
          <w:b/>
        </w:rPr>
        <w:t xml:space="preserve"> </w:t>
      </w:r>
      <w:r>
        <w:rPr>
          <w:bCs/>
          <w:b/>
        </w:rPr>
        <w:t xml:space="preserve">fit.</w:t>
      </w:r>
      <w:r>
        <w:t xml:space="preserve"> </w:t>
      </w:r>
      <w:r>
        <w:t xml:space="preserve">A phase is done when its exit gate is met, not when its fifth day ends.</w:t>
      </w:r>
      <w:r>
        <w:t xml:space="preserve"> </w:t>
      </w:r>
      <w:r>
        <w:t xml:space="preserve">Some cohorts will clear a phase in four days; a mixed-experience cohort meeting</w:t>
      </w:r>
      <w:r>
        <w:t xml:space="preserve"> </w:t>
      </w:r>
      <w:r>
        <w:t xml:space="preserve">Week 3’s three new tool families at once will more often need six. Both are the</w:t>
      </w:r>
      <w:r>
        <w:t xml:space="preserve"> </w:t>
      </w:r>
      <w:r>
        <w:t xml:space="preserve">program running correctly.</w:t>
      </w:r>
    </w:p>
    <w:p>
      <w:pPr>
        <w:pStyle w:val="BodyText"/>
      </w:pPr>
      <w:r>
        <w:t xml:space="preserve">This is stated because the alternative was worse. The honest reading of an</w:t>
      </w:r>
      <w:r>
        <w:t xml:space="preserve"> </w:t>
      </w:r>
      <w:r>
        <w:t xml:space="preserve">earlier draft was that Week 3 carried roughly 13,500 words and eighty exercises</w:t>
      </w:r>
      <w:r>
        <w:t xml:space="preserve"> </w:t>
      </w:r>
      <w:r>
        <w:t xml:space="preserve">against Week 1’s 9,800, for an identical 900 minutes — which does not mean Week 3</w:t>
      </w:r>
      <w:r>
        <w:t xml:space="preserve"> </w:t>
      </w:r>
      <w:r>
        <w:t xml:space="preserve">was overfull. It means the 900 minutes was fiction in one week and slack in</w:t>
      </w:r>
      <w:r>
        <w:t xml:space="preserve"> </w:t>
      </w:r>
      <w:r>
        <w:t xml:space="preserve">another, and an instructor discovered which on the Thursday.</w:t>
      </w:r>
    </w:p>
    <w:p>
      <w:pPr>
        <w:pStyle w:val="BodyText"/>
      </w:pPr>
      <w:r>
        <w:rPr>
          <w:bCs/>
          <w:b/>
        </w:rPr>
        <w:t xml:space="preserve">Every day plan still totals 180 minutes.</w:t>
      </w:r>
      <w:r>
        <w:t xml:space="preserve"> </w:t>
      </w:r>
      <w:r>
        <w:t xml:space="preserve">They are written for the reference</w:t>
      </w:r>
      <w:r>
        <w:t xml:space="preserve"> </w:t>
      </w:r>
      <w:r>
        <w:t xml:space="preserve">cohort and they are the thing you adapt, so they need to be concrete enough to</w:t>
      </w:r>
      <w:r>
        <w:t xml:space="preserve"> </w:t>
      </w:r>
      <w:r>
        <w:t xml:space="preserve">adapt</w:t>
      </w:r>
      <w:r>
        <w:t xml:space="preserve"> </w:t>
      </w:r>
      <w:r>
        <w:rPr>
          <w:iCs/>
          <w:i/>
        </w:rPr>
        <w:t xml:space="preserve">from</w:t>
      </w:r>
      <w:r>
        <w:t xml:space="preserve">. A day plan that said</w:t>
      </w:r>
      <w:r>
        <w:t xml:space="preserve"> </w:t>
      </w:r>
      <w:r>
        <w:t xml:space="preserve">“</w:t>
      </w:r>
      <w:r>
        <w:t xml:space="preserve">roughly three hours, depending</w:t>
      </w:r>
      <w:r>
        <w:t xml:space="preserve">”</w:t>
      </w:r>
      <w:r>
        <w:t xml:space="preserve"> </w:t>
      </w:r>
      <w:r>
        <w:t xml:space="preserve">would be</w:t>
      </w:r>
      <w:r>
        <w:t xml:space="preserve"> </w:t>
      </w:r>
      <w:r>
        <w:t xml:space="preserve">useless to a first-time instructor and no more honest.</w:t>
      </w:r>
    </w:p>
    <w:bookmarkStart w:id="22" w:name="core-and-extension"/>
    <w:p>
      <w:pPr>
        <w:pStyle w:val="Heading2"/>
      </w:pPr>
      <w:r>
        <w:t xml:space="preserve">Core and extension</w:t>
      </w:r>
    </w:p>
    <w:p>
      <w:pPr>
        <w:pStyle w:val="FirstParagraph"/>
      </w:pPr>
      <w:r>
        <w:t xml:space="preserve">Each phase separates two kinds of content, and the distinction is what makes a</w:t>
      </w:r>
      <w:r>
        <w:t xml:space="preserve"> </w:t>
      </w:r>
      <w:r>
        <w:t xml:space="preserve">flexible schedule safe rather than vague: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it is</w:t>
            </w:r>
          </w:p>
        </w:tc>
        <w:tc>
          <w:tcPr/>
          <w:p>
            <w:pPr>
              <w:pStyle w:val="Compact"/>
              <w:jc w:val="left"/>
            </w:pPr>
            <w:r>
              <w:t xml:space="preserve">If you are short of time</w:t>
            </w:r>
          </w:p>
        </w:tc>
      </w:tr>
      <w:tr>
        <w:tc>
          <w:tcPr/>
          <w:p>
            <w:pPr>
              <w:pStyle w:val="Compact"/>
              <w:jc w:val="left"/>
            </w:pPr>
            <w:r>
              <w:rPr>
                <w:bCs/>
                <w:b/>
              </w:rPr>
              <w:t xml:space="preserve">Core</w:t>
            </w:r>
          </w:p>
        </w:tc>
        <w:tc>
          <w:tcPr/>
          <w:p>
            <w:pPr>
              <w:pStyle w:val="Compact"/>
              <w:jc w:val="left"/>
            </w:pPr>
            <w:r>
              <w:t xml:space="preserve">The material the exit gate assesses, and everything the next phase’s</w:t>
            </w:r>
            <w:r>
              <w:t xml:space="preserve"> </w:t>
            </w:r>
            <w:r>
              <w:rPr>
                <w:iCs/>
                <w:i/>
              </w:rPr>
              <w:t xml:space="preserve">Requires from</w:t>
            </w:r>
            <w:r>
              <w:t xml:space="preserve"> </w:t>
            </w:r>
            <w:r>
              <w:t xml:space="preserve">line depends on</w:t>
            </w:r>
          </w:p>
        </w:tc>
        <w:tc>
          <w:tcPr/>
          <w:p>
            <w:pPr>
              <w:pStyle w:val="Compact"/>
              <w:jc w:val="left"/>
            </w:pPr>
            <w:r>
              <w:rPr>
                <w:bCs/>
                <w:b/>
              </w:rPr>
              <w:t xml:space="preserve">Never cut.</w:t>
            </w:r>
            <w:r>
              <w:t xml:space="preserve"> </w:t>
            </w:r>
            <w:r>
              <w:t xml:space="preserve">Run longer instead</w:t>
            </w:r>
          </w:p>
        </w:tc>
      </w:tr>
      <w:tr>
        <w:tc>
          <w:tcPr/>
          <w:p>
            <w:pPr>
              <w:pStyle w:val="Compact"/>
              <w:jc w:val="left"/>
            </w:pPr>
            <w:r>
              <w:rPr>
                <w:bCs/>
                <w:b/>
              </w:rPr>
              <w:t xml:space="preserve">Extension</w:t>
            </w:r>
          </w:p>
        </w:tc>
        <w:tc>
          <w:tcPr/>
          <w:p>
            <w:pPr>
              <w:pStyle w:val="Compact"/>
              <w:jc w:val="left"/>
            </w:pPr>
            <w:r>
              <w:t xml:space="preserve">Material that deepens the phase without being assessed by it or required downstream — the sections that sit past each chapter’s References block</w:t>
            </w:r>
          </w:p>
        </w:tc>
        <w:tc>
          <w:tcPr/>
          <w:p>
            <w:pPr>
              <w:pStyle w:val="Compact"/>
              <w:jc w:val="left"/>
            </w:pPr>
            <w:r>
              <w:t xml:space="preserve">Cut freely, or set as reading. Nothing downstream breaks</w:t>
            </w:r>
          </w:p>
        </w:tc>
      </w:tr>
    </w:tbl>
    <w:p>
      <w:pPr>
        <w:pStyle w:val="BodyText"/>
      </w:pPr>
      <w:r>
        <w:t xml:space="preserve">Extension material is marked in the readers. It is genuinely optional and it is</w:t>
      </w:r>
      <w:r>
        <w:t xml:space="preserve"> </w:t>
      </w:r>
      <w:r>
        <w:t xml:space="preserve">genuinely good: Week 3’s organisational change management, privacy-law survey,</w:t>
      </w:r>
      <w:r>
        <w:t xml:space="preserve"> </w:t>
      </w:r>
      <w:r>
        <w:t xml:space="preserve">UX research methods, SOC 2 evidence pipelines and purple-team incident response</w:t>
      </w:r>
      <w:r>
        <w:t xml:space="preserve"> </w:t>
      </w:r>
      <w:r>
        <w:t xml:space="preserve">are there because a quality engineer meets all five in the field and nowhere in</w:t>
      </w:r>
      <w:r>
        <w:t xml:space="preserve"> </w:t>
      </w:r>
      <w:r>
        <w:t xml:space="preserve">a curriculum. They carry no instructional minutes and no rubric weight, and</w:t>
      </w:r>
      <w:r>
        <w:t xml:space="preserve"> </w:t>
      </w:r>
      <w:r>
        <w:t xml:space="preserve">saying so is what lets them stay in the document without quietly making the week</w:t>
      </w:r>
      <w:r>
        <w:t xml:space="preserve"> </w:t>
      </w:r>
      <w:r>
        <w:t xml:space="preserve">undeliverable.</w:t>
      </w:r>
    </w:p>
    <w:p>
      <w:pPr>
        <w:pStyle w:val="BlockText"/>
      </w:pPr>
      <w:r>
        <w:rPr>
          <w:bCs/>
          <w:b/>
        </w:rPr>
        <w:t xml:space="preserve">The failure this prevents.</w:t>
      </w:r>
      <w:r>
        <w:t xml:space="preserve"> </w:t>
      </w:r>
      <w:r>
        <w:t xml:space="preserve">An instructor who believes the week is a fixed</w:t>
      </w:r>
      <w:r>
        <w:t xml:space="preserve"> </w:t>
      </w:r>
      <w:r>
        <w:t xml:space="preserve">900 minutes, and who finds themselves behind on Thursday, cuts the hands-on</w:t>
      </w:r>
      <w:r>
        <w:t xml:space="preserve"> </w:t>
      </w:r>
      <w:r>
        <w:t xml:space="preserve">block — because it is the longest thing on the plan. That is the one block</w:t>
      </w:r>
      <w:r>
        <w:t xml:space="preserve"> </w:t>
      </w:r>
      <w:r>
        <w:t xml:space="preserve">that must never be cut, and it is what the old framing made most tempting.</w:t>
      </w:r>
      <w:r>
        <w:t xml:space="preserve"> </w:t>
      </w:r>
      <w:r>
        <w:t xml:space="preserve">If you are behind: cut extension material, then lecture content, then run</w:t>
      </w:r>
      <w:r>
        <w:t xml:space="preserve"> </w:t>
      </w:r>
      <w:r>
        <w:t xml:space="preserve">longer. In that order.</w:t>
      </w:r>
    </w:p>
    <w:bookmarkEnd w:id="22"/>
    <w:bookmarkStart w:id="23" w:name="what-is-fixed-and-what-is-not"/>
    <w:p>
      <w:pPr>
        <w:pStyle w:val="Heading2"/>
      </w:pPr>
      <w:r>
        <w:t xml:space="preserve">What is fixed, and what is not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Fixed</w:t>
            </w:r>
          </w:p>
        </w:tc>
        <w:tc>
          <w:tcPr/>
          <w:p>
            <w:pPr>
              <w:pStyle w:val="Compact"/>
              <w:jc w:val="left"/>
            </w:pPr>
            <w:r>
              <w:t xml:space="preserve">Not fixed</w:t>
            </w:r>
          </w:p>
        </w:tc>
      </w:tr>
      <w:tr>
        <w:tc>
          <w:tcPr/>
          <w:p>
            <w:pPr>
              <w:pStyle w:val="Compact"/>
              <w:jc w:val="left"/>
            </w:pPr>
            <w:r>
              <w:t xml:space="preserve">The exit gate of each phase</w:t>
            </w:r>
          </w:p>
        </w:tc>
        <w:tc>
          <w:tcPr/>
          <w:p>
            <w:pPr>
              <w:pStyle w:val="Compact"/>
              <w:jc w:val="left"/>
            </w:pPr>
            <w:r>
              <w:t xml:space="preserve">How many days it takes to reach it</w:t>
            </w:r>
          </w:p>
        </w:tc>
      </w:tr>
      <w:tr>
        <w:tc>
          <w:tcPr/>
          <w:p>
            <w:pPr>
              <w:pStyle w:val="Compact"/>
              <w:jc w:val="left"/>
            </w:pPr>
            <w:r>
              <w:t xml:space="preserve">The order of the four phases</w:t>
            </w:r>
          </w:p>
        </w:tc>
        <w:tc>
          <w:tcPr/>
          <w:p>
            <w:pPr>
              <w:pStyle w:val="Compact"/>
              <w:jc w:val="left"/>
            </w:pPr>
            <w:r>
              <w:t xml:space="preserve">How much extension material is covered</w:t>
            </w:r>
          </w:p>
        </w:tc>
      </w:tr>
      <w:tr>
        <w:tc>
          <w:tcPr/>
          <w:p>
            <w:pPr>
              <w:pStyle w:val="Compact"/>
              <w:jc w:val="left"/>
            </w:pPr>
            <w:r>
              <w:t xml:space="preserve">One System Under Test throughout</w:t>
            </w:r>
          </w:p>
        </w:tc>
        <w:tc>
          <w:tcPr/>
          <w:p>
            <w:pPr>
              <w:pStyle w:val="Compact"/>
              <w:jc w:val="left"/>
            </w:pPr>
            <w:r>
              <w:t xml:space="preserve">Whether a phase runs in four sessions or seven</w:t>
            </w:r>
          </w:p>
        </w:tc>
      </w:tr>
      <w:tr>
        <w:tc>
          <w:tcPr/>
          <w:p>
            <w:pPr>
              <w:pStyle w:val="Compact"/>
              <w:jc w:val="left"/>
            </w:pPr>
            <w:r>
              <w:t xml:space="preserve">The rubric and its weights</w:t>
            </w:r>
          </w:p>
        </w:tc>
        <w:tc>
          <w:tcPr/>
          <w:p>
            <w:pPr>
              <w:pStyle w:val="Compact"/>
              <w:jc w:val="left"/>
            </w:pPr>
            <w:r>
              <w:t xml:space="preserve">The rhythm inside any given day</w:t>
            </w:r>
          </w:p>
        </w:tc>
      </w:tr>
    </w:tbl>
    <w:p>
      <w:pPr>
        <w:pStyle w:val="BodyText"/>
      </w:pPr>
      <w:r>
        <w:rPr>
          <w:bCs/>
          <w:b/>
        </w:rPr>
        <w:t xml:space="preserve">A cohort that meets four exit gates has completed the program</w:t>
      </w:r>
      <w:r>
        <w:t xml:space="preserve">, whether that</w:t>
      </w:r>
      <w:r>
        <w:t xml:space="preserve"> </w:t>
      </w:r>
      <w:r>
        <w:t xml:space="preserve">took fifty hours or eighty. A cohort that ran exactly sixty hours and skipped a</w:t>
      </w:r>
      <w:r>
        <w:t xml:space="preserve"> </w:t>
      </w:r>
      <w:r>
        <w:t xml:space="preserve">gate has not.</w:t>
      </w:r>
    </w:p>
    <w:bookmarkEnd w:id="23"/>
    <w:bookmarkStart w:id="24" w:name="X79271de21cb34395a24324597c5c433ad86e15e"/>
    <w:p>
      <w:pPr>
        <w:pStyle w:val="Heading2"/>
      </w:pPr>
      <w:r>
        <w:t xml:space="preserve">Two products, one archive — and the rule that keeps them apart</w:t>
      </w:r>
    </w:p>
    <w:p>
      <w:pPr>
        <w:pStyle w:val="FirstParagraph"/>
      </w:pPr>
      <w:r>
        <w:t xml:space="preserve">The material is</w:t>
      </w:r>
      <w:r>
        <w:t xml:space="preserve"> </w:t>
      </w:r>
      <w:r>
        <w:rPr>
          <w:bCs/>
          <w:b/>
        </w:rPr>
        <w:t xml:space="preserve">two things with opposite success conditions</w:t>
      </w:r>
      <w:r>
        <w:t xml:space="preserve">, and confusing</w:t>
      </w:r>
      <w:r>
        <w:t xml:space="preserve"> </w:t>
      </w:r>
      <w:r>
        <w:t xml:space="preserve">them is the commonest way a program like this decays.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The program</w:t>
            </w:r>
          </w:p>
        </w:tc>
        <w:tc>
          <w:tcPr/>
          <w:p>
            <w:pPr>
              <w:pStyle w:val="Compact"/>
              <w:jc w:val="left"/>
            </w:pPr>
            <w:r>
              <w:t xml:space="preserve">The Field Guide (Appendices A–F)</w:t>
            </w:r>
          </w:p>
        </w:tc>
      </w:tr>
      <w:tr>
        <w:tc>
          <w:tcPr/>
          <w:p>
            <w:pPr>
              <w:pStyle w:val="Compact"/>
              <w:jc w:val="left"/>
            </w:pPr>
            <w:r>
              <w:rPr>
                <w:bCs/>
                <w:b/>
              </w:rPr>
              <w:t xml:space="preserve">Judged by</w:t>
            </w:r>
          </w:p>
        </w:tc>
        <w:tc>
          <w:tcPr/>
          <w:p>
            <w:pPr>
              <w:pStyle w:val="Compact"/>
              <w:jc w:val="left"/>
            </w:pPr>
            <w:r>
              <w:t xml:space="preserve">What a cohort achieves in the time</w:t>
            </w:r>
          </w:p>
        </w:tc>
        <w:tc>
          <w:tcPr/>
          <w:p>
            <w:pPr>
              <w:pStyle w:val="Compact"/>
              <w:jc w:val="left"/>
            </w:pPr>
            <w:r>
              <w:t xml:space="preserve">Whether the thing you need is in it</w:t>
            </w:r>
          </w:p>
        </w:tc>
      </w:tr>
      <w:tr>
        <w:tc>
          <w:tcPr/>
          <w:p>
            <w:pPr>
              <w:pStyle w:val="Compact"/>
              <w:jc w:val="left"/>
            </w:pPr>
            <w:r>
              <w:rPr>
                <w:bCs/>
                <w:b/>
              </w:rPr>
              <w:t xml:space="preserve">Bounded by</w:t>
            </w:r>
          </w:p>
        </w:tc>
        <w:tc>
          <w:tcPr/>
          <w:p>
            <w:pPr>
              <w:pStyle w:val="Compact"/>
              <w:jc w:val="left"/>
            </w:pPr>
            <w:r>
              <w:t xml:space="preserve">Contact hours and exit gates</w:t>
            </w:r>
          </w:p>
        </w:tc>
        <w:tc>
          <w:tcPr/>
          <w:p>
            <w:pPr>
              <w:pStyle w:val="Compact"/>
              <w:jc w:val="left"/>
            </w:pPr>
            <w:r>
              <w:t xml:space="preserve">Nothing</w:t>
            </w:r>
          </w:p>
        </w:tc>
      </w:tr>
      <w:tr>
        <w:tc>
          <w:tcPr/>
          <w:p>
            <w:pPr>
              <w:pStyle w:val="Compact"/>
              <w:jc w:val="left"/>
            </w:pPr>
            <w:r>
              <w:rPr>
                <w:bCs/>
                <w:b/>
              </w:rPr>
              <w:t xml:space="preserve">Costs a learner</w:t>
            </w:r>
          </w:p>
        </w:tc>
        <w:tc>
          <w:tcPr/>
          <w:p>
            <w:pPr>
              <w:pStyle w:val="Compact"/>
              <w:jc w:val="left"/>
            </w:pPr>
            <w:r>
              <w:t xml:space="preserve">Time, on the clock</w:t>
            </w:r>
          </w:p>
        </w:tc>
        <w:tc>
          <w:tcPr/>
          <w:p>
            <w:pPr>
              <w:pStyle w:val="Compact"/>
              <w:jc w:val="left"/>
            </w:pPr>
            <w:r>
              <w:t xml:space="preserve">Nothing until they open it</w:t>
            </w:r>
          </w:p>
        </w:tc>
      </w:tr>
      <w:tr>
        <w:tc>
          <w:tcPr/>
          <w:p>
            <w:pPr>
              <w:pStyle w:val="Compact"/>
              <w:jc w:val="left"/>
            </w:pPr>
            <w:r>
              <w:rPr>
                <w:bCs/>
                <w:b/>
              </w:rPr>
              <w:t xml:space="preserve">Should grow?</w:t>
            </w:r>
          </w:p>
        </w:tc>
        <w:tc>
          <w:tcPr/>
          <w:p>
            <w:pPr>
              <w:pStyle w:val="Compact"/>
              <w:jc w:val="left"/>
            </w:pPr>
            <w:r>
              <w:rPr>
                <w:bCs/>
                <w:b/>
              </w:rPr>
              <w:t xml:space="preserve">No</w:t>
            </w:r>
            <w:r>
              <w:t xml:space="preserve"> </w:t>
            </w:r>
            <w:r>
              <w:t xml:space="preserve">— it is full</w:t>
            </w:r>
          </w:p>
        </w:tc>
        <w:tc>
          <w:tcPr/>
          <w:p>
            <w:pPr>
              <w:pStyle w:val="Compact"/>
              <w:jc w:val="left"/>
            </w:pPr>
            <w:r>
              <w:rPr>
                <w:bCs/>
                <w:b/>
              </w:rPr>
              <w:t xml:space="preserve">Yes</w:t>
            </w:r>
            <w:r>
              <w:t xml:space="preserve"> </w:t>
            </w:r>
            <w:r>
              <w:t xml:space="preserve">— as the field does, and as the author’s practice does</w:t>
            </w:r>
          </w:p>
        </w:tc>
      </w:tr>
    </w:tbl>
    <w:p>
      <w:pPr>
        <w:pStyle w:val="BodyText"/>
      </w:pPr>
      <w:r>
        <w:rPr>
          <w:bCs/>
          <w:b/>
        </w:rPr>
        <w:t xml:space="preserve">The governing rule, in one line: the reference grows freely; taught minutes</w:t>
      </w:r>
      <w:r>
        <w:rPr>
          <w:bCs/>
          <w:b/>
        </w:rPr>
        <w:t xml:space="preserve"> </w:t>
      </w:r>
      <w:r>
        <w:rPr>
          <w:bCs/>
          <w:b/>
        </w:rPr>
        <w:t xml:space="preserve">and assessed artifacts do not.</w:t>
      </w:r>
    </w:p>
    <w:p>
      <w:pPr>
        <w:pStyle w:val="BodyText"/>
      </w:pPr>
      <w:r>
        <w:t xml:space="preserve">So a new appendix, or a new section inside one, is always allowed.</w:t>
      </w:r>
      <w:r>
        <w:t xml:space="preserve"> </w:t>
      </w:r>
      <w:r>
        <w:rPr>
          <w:bCs/>
          <w:b/>
        </w:rPr>
        <w:t xml:space="preserve">A new taught</w:t>
      </w:r>
      <w:r>
        <w:rPr>
          <w:bCs/>
          <w:b/>
        </w:rPr>
        <w:t xml:space="preserve"> </w:t>
      </w:r>
      <w:r>
        <w:rPr>
          <w:bCs/>
          <w:b/>
        </w:rPr>
        <w:t xml:space="preserve">block must displace an existing one</w:t>
      </w:r>
      <w:r>
        <w:t xml:space="preserve">, and the day plan still has to total its</w:t>
      </w:r>
      <w:r>
        <w:t xml:space="preserve"> </w:t>
      </w:r>
      <w:r>
        <w:t xml:space="preserve">stated minutes — which</w:t>
      </w:r>
      <w:r>
        <w:t xml:space="preserve"> </w:t>
      </w:r>
      <w:r>
        <w:rPr>
          <w:rStyle w:val="VerbatimChar"/>
        </w:rPr>
        <w:t xml:space="preserve">check_day_plans()</w:t>
      </w:r>
      <w:r>
        <w:t xml:space="preserve"> </w:t>
      </w:r>
      <w:r>
        <w:t xml:space="preserve">enforces rather than trusting.</w:t>
      </w:r>
      <w:r>
        <w:t xml:space="preserve"> </w:t>
      </w:r>
      <w:r>
        <w:rPr>
          <w:bCs/>
          <w:b/>
        </w:rPr>
        <w:t xml:space="preserve">A new</w:t>
      </w:r>
      <w:r>
        <w:rPr>
          <w:bCs/>
          <w:b/>
        </w:rPr>
        <w:t xml:space="preserve"> </w:t>
      </w:r>
      <w:r>
        <w:rPr>
          <w:bCs/>
          <w:b/>
        </w:rPr>
        <w:t xml:space="preserve">exit gate or rubric category needs a much stronger argument than a new appendix</w:t>
      </w:r>
      <w:r>
        <w:t xml:space="preserve">,</w:t>
      </w:r>
      <w:r>
        <w:t xml:space="preserve"> </w:t>
      </w:r>
      <w:r>
        <w:t xml:space="preserve">because it costs every learner in every cohort, permanently, and because the</w:t>
      </w:r>
      <w:r>
        <w:t xml:space="preserve"> </w:t>
      </w:r>
      <w:r>
        <w:t xml:space="preserve">rubric’s weights are on the fixed side of the table above.</w:t>
      </w:r>
    </w:p>
    <w:p>
      <w:pPr>
        <w:pStyle w:val="BlockText"/>
      </w:pPr>
      <w:r>
        <w:rPr>
          <w:bCs/>
          <w:b/>
        </w:rPr>
        <w:t xml:space="preserve">Why this is written down.</w:t>
      </w:r>
      <w:r>
        <w:t xml:space="preserve"> </w:t>
      </w:r>
      <w:r>
        <w:t xml:space="preserve">Every addition to this program after Edition 1.0</w:t>
      </w:r>
      <w:r>
        <w:t xml:space="preserve"> </w:t>
      </w:r>
      <w:r>
        <w:t xml:space="preserve">— design patterns, the command line, the AI chapter, the disconnected path —</w:t>
      </w:r>
      <w:r>
        <w:t xml:space="preserve"> </w:t>
      </w:r>
      <w:r>
        <w:t xml:space="preserve">landed in the reference column and cost the four weeks</w:t>
      </w:r>
      <w:r>
        <w:t xml:space="preserve"> </w:t>
      </w:r>
      <w:r>
        <w:rPr>
          <w:bCs/>
          <w:b/>
        </w:rPr>
        <w:t xml:space="preserve">thirty-five minutes in</w:t>
      </w:r>
      <w:r>
        <w:rPr>
          <w:bCs/>
          <w:b/>
        </w:rPr>
        <w:t xml:space="preserve"> </w:t>
      </w:r>
      <w:r>
        <w:rPr>
          <w:bCs/>
          <w:b/>
        </w:rPr>
        <w:t xml:space="preserve">total</w:t>
      </w:r>
      <w:r>
        <w:t xml:space="preserve">, both of which were displaced rather than added. That is the pattern</w:t>
      </w:r>
      <w:r>
        <w:t xml:space="preserve"> </w:t>
      </w:r>
      <w:r>
        <w:t xml:space="preserve">to keep. The failure mode it prevents is a program that grows a page at a time</w:t>
      </w:r>
      <w:r>
        <w:t xml:space="preserve"> </w:t>
      </w:r>
      <w:r>
        <w:t xml:space="preserve">until no cohort can finish it, with nobody able to name the week it stopped</w:t>
      </w:r>
      <w:r>
        <w:t xml:space="preserve"> </w:t>
      </w:r>
      <w:r>
        <w:t xml:space="preserve">being deliverable.</w:t>
      </w:r>
    </w:p>
    <w:p>
      <w:r>
        <w:pict>
          <v:rect style="width:0;height:1.5pt" o:hralign="center" o:hrstd="t" o:hr="t"/>
        </w:pict>
      </w:r>
    </w:p>
    <w:bookmarkEnd w:id="24"/>
    <w:bookmarkEnd w:id="25"/>
    <w:bookmarkStart w:id="26" w:name="phase-0-environment-and-accounts"/>
    <w:p>
      <w:pPr>
        <w:pStyle w:val="Heading1"/>
      </w:pPr>
      <w:r>
        <w:t xml:space="preserve">Phase 0 — Environment and Accounts</w:t>
      </w:r>
    </w:p>
    <w:p>
      <w:pPr>
        <w:pStyle w:val="FirstParagraph"/>
      </w:pPr>
      <w:r>
        <w:rPr>
          <w:bCs/>
          <w:b/>
        </w:rPr>
        <w:t xml:space="preserve">Week 0 · Self-paced, outside the taught phases</w:t>
      </w:r>
    </w:p>
    <w:p>
      <w:pPr>
        <w:pStyle w:val="BlockText"/>
      </w:pPr>
      <w:r>
        <w:rPr>
          <w:bCs/>
          <w:b/>
        </w:rPr>
        <w:t xml:space="preserve">Completed before Day 1.</w:t>
      </w:r>
      <w:r>
        <w:t xml:space="preserve"> </w:t>
      </w:r>
      <w:r>
        <w:t xml:space="preserve">Two to three hours of account creation and tool</w:t>
      </w:r>
      <w:r>
        <w:t xml:space="preserve"> </w:t>
      </w:r>
      <w:r>
        <w:t xml:space="preserve">installation. It is not taught and it is not assessed, but it is gated: a</w:t>
      </w:r>
      <w:r>
        <w:t xml:space="preserve"> </w:t>
      </w:r>
      <w:r>
        <w:t xml:space="preserve">learner arrives having run</w:t>
      </w:r>
      <w:r>
        <w:t xml:space="preserve"> </w:t>
      </w:r>
      <w:r>
        <w:rPr>
          <w:rStyle w:val="VerbatimChar"/>
        </w:rPr>
        <w:t xml:space="preserve">./scripts/verify-setup.sh</w:t>
      </w:r>
      <w:r>
        <w:t xml:space="preserve"> </w:t>
      </w:r>
      <w:r>
        <w:t xml:space="preserve">to a clean result.</w:t>
      </w:r>
    </w:p>
    <w:p>
      <w:pPr>
        <w:pStyle w:val="FirstParagraph"/>
      </w:pPr>
      <w:r>
        <w:rPr>
          <w:bCs/>
          <w:b/>
        </w:rPr>
        <w:t xml:space="preserve">Objectives</w:t>
      </w:r>
      <w:r>
        <w:t xml:space="preserve"> </w:t>
      </w:r>
      <w:r>
        <w:t xml:space="preserve">- Stand up every account and tool the four weeks depend on</w:t>
      </w:r>
      <w:r>
        <w:t xml:space="preserve"> </w:t>
      </w:r>
      <w:r>
        <w:t xml:space="preserve">- Create the working repository from the supplied starter</w:t>
      </w:r>
      <w:r>
        <w:t xml:space="preserve"> </w:t>
      </w:r>
      <w:r>
        <w:t xml:space="preserve">- Prove the pipeline runs before any content is taught</w:t>
      </w:r>
    </w:p>
    <w:p>
      <w:pPr>
        <w:pStyle w:val="BodyText"/>
      </w:pPr>
      <w:r>
        <w:rPr>
          <w:bCs/>
          <w:b/>
        </w:rPr>
        <w:t xml:space="preserve">Covers</w:t>
      </w:r>
      <w:r>
        <w:t xml:space="preserve"> </w:t>
      </w:r>
      <w:r>
        <w:t xml:space="preserve">— Git and a code host · branch protection · a language toolchain</w:t>
      </w:r>
      <w:r>
        <w:t xml:space="preserve"> </w:t>
      </w:r>
      <w:r>
        <w:t xml:space="preserve">(Java, C#, Python or C++) · Docker · CI · static analysis · load, security and</w:t>
      </w:r>
      <w:r>
        <w:t xml:space="preserve"> </w:t>
      </w:r>
      <w:r>
        <w:t xml:space="preserve">accessibility tooling · a deploy target · corporate proxy configuration</w:t>
      </w:r>
    </w:p>
    <w:p>
      <w:pPr>
        <w:pStyle w:val="BodyText"/>
      </w:pPr>
      <w:r>
        <w:rPr>
          <w:bCs/>
          <w:b/>
        </w:rPr>
        <w:t xml:space="preserve">Deliverables</w:t>
      </w:r>
      <w:r>
        <w:t xml:space="preserve"> </w:t>
      </w:r>
      <w:r>
        <w:t xml:space="preserve">- A repository on</w:t>
      </w:r>
      <w:r>
        <w:t xml:space="preserve"> </w:t>
      </w:r>
      <w:r>
        <w:rPr>
          <w:rStyle w:val="VerbatimChar"/>
        </w:rPr>
        <w:t xml:space="preserve">main</w:t>
      </w:r>
      <w:r>
        <w:t xml:space="preserve">, created from the starter, with branch protection on</w:t>
      </w:r>
      <w:r>
        <w:t xml:space="preserve"> </w:t>
      </w:r>
      <w:r>
        <w:t xml:space="preserve">- One completed pipeline run: Build, Test and Analyze attempted, stages 4–8 skipped</w:t>
      </w:r>
      <w:r>
        <w:t xml:space="preserve"> </w:t>
      </w:r>
      <w:r>
        <w:t xml:space="preserve">- A static-analysis project connected, with automatic analysis disabled</w:t>
      </w:r>
      <w:r>
        <w:t xml:space="preserve"> </w:t>
      </w:r>
      <w:r>
        <w:t xml:space="preserve">-</w:t>
      </w:r>
      <w:r>
        <w:t xml:space="preserve"> </w:t>
      </w:r>
      <w:r>
        <w:rPr>
          <w:rStyle w:val="VerbatimChar"/>
        </w:rPr>
        <w:t xml:space="preserve">verify-setup.sh</w:t>
      </w:r>
      <w:r>
        <w:t xml:space="preserve"> </w:t>
      </w:r>
      <w:r>
        <w:t xml:space="preserve">passing with zero required items missing</w:t>
      </w:r>
    </w:p>
    <w:p>
      <w:pPr>
        <w:pStyle w:val="BlockText"/>
      </w:pPr>
      <w:r>
        <w:rPr>
          <w:bCs/>
          <w:b/>
        </w:rPr>
        <w:t xml:space="preserve">Why it is separate.</w:t>
      </w:r>
      <w:r>
        <w:t xml:space="preserve"> </w:t>
      </w:r>
      <w:r>
        <w:t xml:space="preserve">Day 1 establishes the four-week spine. A cohort that</w:t>
      </w:r>
      <w:r>
        <w:t xml:space="preserve"> </w:t>
      </w:r>
      <w:r>
        <w:t xml:space="preserve">spends it installing JDKs loses the most important day of the program. See the</w:t>
      </w:r>
      <w:r>
        <w:t xml:space="preserve"> </w:t>
      </w:r>
      <w:r>
        <w:rPr>
          <w:iCs/>
          <w:i/>
        </w:rPr>
        <w:t xml:space="preserve">Week 0</w:t>
      </w:r>
      <w:r>
        <w:t xml:space="preserve"> </w:t>
      </w:r>
      <w:r>
        <w:t xml:space="preserve">reader and the starter repository.</w:t>
      </w:r>
    </w:p>
    <w:p>
      <w:r>
        <w:pict>
          <v:rect style="width:0;height:1.5pt" o:hralign="center" o:hrstd="t" o:hr="t"/>
        </w:pict>
      </w:r>
    </w:p>
    <w:bookmarkEnd w:id="26"/>
    <w:bookmarkStart w:id="27" w:name="X9f35f395feaa8a3defc7bd12dbed74490c67c83"/>
    <w:p>
      <w:pPr>
        <w:pStyle w:val="Heading1"/>
      </w:pPr>
      <w:r>
        <w:t xml:space="preserve">Phase 1 — Foundations of Clean Code &amp; Testing Design</w:t>
      </w:r>
    </w:p>
    <w:p>
      <w:pPr>
        <w:pStyle w:val="FirstParagraph"/>
      </w:pPr>
      <w:r>
        <w:rPr>
          <w:bCs/>
          <w:b/>
        </w:rPr>
        <w:t xml:space="preserve">Week 1 · Make it testable</w:t>
      </w:r>
    </w:p>
    <w:p>
      <w:pPr>
        <w:pStyle w:val="BlockText"/>
      </w:pPr>
      <w:r>
        <w:rPr>
          <w:bCs/>
          <w:b/>
        </w:rPr>
        <w:t xml:space="preserve">Week 1, Day 1, first 45 minutes: choose the System Under Test.</w:t>
      </w:r>
      <w:r>
        <w:t xml:space="preserve"> </w:t>
      </w:r>
      <w:r>
        <w:t xml:space="preserve">It carries through all four weeks. Selection criteria are in</w:t>
      </w:r>
      <w:r>
        <w:t xml:space="preserve"> </w:t>
      </w:r>
      <w:r>
        <w:rPr>
          <w:bCs/>
          <w:b/>
        </w:rPr>
        <w:t xml:space="preserve">Week 1 §0.2</w:t>
      </w:r>
      <w:r>
        <w:t xml:space="preserve"> </w:t>
      </w:r>
      <w:r>
        <w:t xml:space="preserve">and in</w:t>
      </w:r>
      <w:r>
        <w:t xml:space="preserve"> </w:t>
      </w:r>
      <w:r>
        <w:rPr>
          <w:iCs/>
          <w:i/>
        </w:rPr>
        <w:t xml:space="preserve">Program Design — The Project Spine</w:t>
      </w:r>
      <w:r>
        <w:t xml:space="preserve">.</w:t>
      </w:r>
    </w:p>
    <w:p>
      <w:pPr>
        <w:pStyle w:val="FirstParagraph"/>
      </w:pPr>
      <w:r>
        <w:rPr>
          <w:bCs/>
          <w:b/>
        </w:rPr>
        <w:t xml:space="preserve">Objectives</w:t>
      </w:r>
      <w:r>
        <w:t xml:space="preserve"> </w:t>
      </w:r>
      <w:r>
        <w:t xml:space="preserve">- Understand software requirements and design testable systems</w:t>
      </w:r>
      <w:r>
        <w:t xml:space="preserve"> </w:t>
      </w:r>
      <w:r>
        <w:t xml:space="preserve">- Apply Clean Code and SOLID principles</w:t>
      </w:r>
      <w:r>
        <w:t xml:space="preserve"> </w:t>
      </w:r>
      <w:r>
        <w:t xml:space="preserve">- Master the</w:t>
      </w:r>
      <w:r>
        <w:t xml:space="preserve"> </w:t>
      </w:r>
      <w:r>
        <w:rPr>
          <w:bCs/>
          <w:b/>
        </w:rPr>
        <w:t xml:space="preserve">TDD</w:t>
      </w:r>
      <w:r>
        <w:t xml:space="preserve"> </w:t>
      </w:r>
      <w:r>
        <w:t xml:space="preserve">Red–Green–Refactor cycle</w:t>
      </w:r>
      <w:r>
        <w:t xml:space="preserve"> </w:t>
      </w:r>
      <w:r>
        <w:t xml:space="preserve">- Write acceptance criteria in three-clause prose and map each to a test layer</w:t>
      </w:r>
    </w:p>
    <w:p>
      <w:pPr>
        <w:pStyle w:val="BlockText"/>
      </w:pPr>
      <w:r>
        <w:rPr>
          <w:bCs/>
          <w:b/>
        </w:rPr>
        <w:t xml:space="preserve">No specification DSL in Week 1.</w:t>
      </w:r>
      <w:r>
        <w:t xml:space="preserve"> </w:t>
      </w:r>
      <w:r>
        <w:t xml:space="preserve">Given/When/Then appears here only as a</w:t>
      </w:r>
      <w:r>
        <w:t xml:space="preserve"> </w:t>
      </w:r>
      <w:r>
        <w:t xml:space="preserve">prose discipline for stating behaviour precisely. Gherkin as</w:t>
      </w:r>
      <w:r>
        <w:t xml:space="preserve"> </w:t>
      </w:r>
      <w:r>
        <w:rPr>
          <w:iCs/>
          <w:i/>
        </w:rPr>
        <w:t xml:space="preserve">tooling</w:t>
      </w:r>
      <w:r>
        <w:t xml:space="preserve"> </w:t>
      </w:r>
      <w:r>
        <w:t xml:space="preserve">is a</w:t>
      </w:r>
      <w:r>
        <w:t xml:space="preserve"> </w:t>
      </w:r>
      <w:r>
        <w:t xml:space="preserve">Week 2 decision — see Phase 2 — and is taught only once learners have</w:t>
      </w:r>
      <w:r>
        <w:t xml:space="preserve"> </w:t>
      </w:r>
      <w:r>
        <w:t xml:space="preserve">end-to-end automation for it to wrap.</w:t>
      </w:r>
    </w:p>
    <w:p>
      <w:pPr>
        <w:pStyle w:val="FirstParagraph"/>
      </w:pPr>
      <w:r>
        <w:rPr>
          <w:bCs/>
          <w:b/>
        </w:rPr>
        <w:t xml:space="preserve">Topics</w:t>
      </w:r>
      <w:r>
        <w:t xml:space="preserve"> </w:t>
      </w:r>
      <w:r>
        <w:t xml:space="preserve">- Software testing fundamentals — functional vs non-functional</w:t>
      </w:r>
      <w:r>
        <w:t xml:space="preserve"> </w:t>
      </w:r>
      <w:r>
        <w:t xml:space="preserve">- Clean Code principles applied to automation</w:t>
      </w:r>
      <w:r>
        <w:t xml:space="preserve"> </w:t>
      </w:r>
      <w:r>
        <w:t xml:space="preserve">- Requirements and acceptance criteria</w:t>
      </w:r>
      <w:r>
        <w:t xml:space="preserve"> </w:t>
      </w:r>
      <w:r>
        <w:t xml:space="preserve">- Writing acceptance criteria in three-clause form (Given/When/Then as prose) and mapping each to a test layer</w:t>
      </w:r>
      <w:r>
        <w:t xml:space="preserve"> </w:t>
      </w:r>
      <w:r>
        <w:t xml:space="preserve">-</w:t>
      </w:r>
      <w:r>
        <w:t xml:space="preserve"> </w:t>
      </w:r>
      <w:r>
        <w:rPr>
          <w:bCs/>
          <w:b/>
        </w:rPr>
        <w:t xml:space="preserve">TDD Red–Green–Refactor cycle</w:t>
      </w:r>
      <w:r>
        <w:t xml:space="preserve"> </w:t>
      </w:r>
      <w:r>
        <w:t xml:space="preserve">— the week’s pivot</w:t>
      </w:r>
      <w:r>
        <w:t xml:space="preserve"> </w:t>
      </w:r>
      <w:r>
        <w:t xml:space="preserve">- Unit testing, test doubles, and coverage measurement</w:t>
      </w:r>
    </w:p>
    <w:p>
      <w:pPr>
        <w:pStyle w:val="BodyText"/>
      </w:pPr>
      <w:r>
        <w:rPr>
          <w:bCs/>
          <w:b/>
        </w:rPr>
        <w:t xml:space="preserve">Tools</w:t>
      </w:r>
      <w:r>
        <w:t xml:space="preserve"> </w:t>
      </w:r>
      <w:r>
        <w:t xml:space="preserve">— JUnit, pytest, NUnit, Mockito, JaCoCo, pytest-cov, SonarQube for IDE (formerly SonarLint)</w:t>
      </w:r>
    </w:p>
    <w:p>
      <w:pPr>
        <w:pStyle w:val="BodyText"/>
      </w:pPr>
      <w:r>
        <w:rPr>
          <w:bCs/>
          <w:b/>
        </w:rPr>
        <w:t xml:space="preserve">Deliverables</w:t>
      </w:r>
      <w:r>
        <w:t xml:space="preserve"> </w:t>
      </w:r>
      <w:r>
        <w:t xml:space="preserve">- Clean, modular unit test suite</w:t>
      </w:r>
      <w:r>
        <w:t xml:space="preserve"> </w:t>
      </w:r>
      <w:r>
        <w:t xml:space="preserve">- Two SOLID violations refactored in the system or its test code, each documented before and after (there is no framework yet — it is built in Week 2)</w:t>
      </w:r>
      <w:r>
        <w:t xml:space="preserve"> </w:t>
      </w:r>
      <w:r>
        <w:t xml:space="preserve">- At least eight testable acceptance criteria, three in three-clause form mapped to a test layer</w:t>
      </w:r>
      <w:r>
        <w:t xml:space="preserve"> </w:t>
      </w:r>
      <w:r>
        <w:t xml:space="preserve">- One strict TDD cycle evidenced in three separate commits</w:t>
      </w:r>
    </w:p>
    <w:p>
      <w:r>
        <w:pict>
          <v:rect style="width:0;height:1.5pt" o:hralign="center" o:hrstd="t" o:hr="t"/>
        </w:pict>
      </w:r>
    </w:p>
    <w:bookmarkEnd w:id="27"/>
    <w:bookmarkStart w:id="28" w:name="Xd9d43658e03d7d0b2c50cfcf2c7ddb3f0dbf163"/>
    <w:p>
      <w:pPr>
        <w:pStyle w:val="Heading1"/>
      </w:pPr>
      <w:r>
        <w:t xml:space="preserve">Phase 2 — Framework Architecture &amp; Functional Testing</w:t>
      </w:r>
    </w:p>
    <w:p>
      <w:pPr>
        <w:pStyle w:val="FirstParagraph"/>
      </w:pPr>
      <w:r>
        <w:rPr>
          <w:bCs/>
          <w:b/>
        </w:rPr>
        <w:t xml:space="preserve">Week 2 · Make it verifiable</w:t>
      </w:r>
    </w:p>
    <w:p>
      <w:pPr>
        <w:pStyle w:val="BlockText"/>
      </w:pPr>
      <w:r>
        <w:rPr>
          <w:bCs/>
          <w:b/>
        </w:rPr>
        <w:t xml:space="preserve">Requires from Week 1:</w:t>
      </w:r>
      <w:r>
        <w:t xml:space="preserve"> </w:t>
      </w:r>
      <w:r>
        <w:t xml:space="preserve">acceptance criteria (→ E2E scenarios) · unit suite (→ pyramid base) · SOLID refactor (→ framework layers) · the repository.</w:t>
      </w:r>
    </w:p>
    <w:p>
      <w:pPr>
        <w:pStyle w:val="FirstParagraph"/>
      </w:pPr>
      <w:r>
        <w:rPr>
          <w:bCs/>
          <w:b/>
        </w:rPr>
        <w:t xml:space="preserve">Objectives</w:t>
      </w:r>
      <w:r>
        <w:t xml:space="preserve"> </w:t>
      </w:r>
      <w:r>
        <w:t xml:space="preserve">- Build scalable test frameworks</w:t>
      </w:r>
      <w:r>
        <w:t xml:space="preserve"> </w:t>
      </w:r>
      <w:r>
        <w:t xml:space="preserve">- Design layered testing: Unit → Integration → E2E</w:t>
      </w:r>
      <w:r>
        <w:t xml:space="preserve"> </w:t>
      </w:r>
      <w:r>
        <w:t xml:space="preserve">- Enforce quality via static analysis and coverage gates</w:t>
      </w:r>
      <w:r>
        <w:t xml:space="preserve"> </w:t>
      </w:r>
      <w:r>
        <w:t xml:space="preserve">- Integrate with CI/CD pipelines</w:t>
      </w:r>
    </w:p>
    <w:p>
      <w:pPr>
        <w:pStyle w:val="BodyText"/>
      </w:pPr>
      <w:r>
        <w:rPr>
          <w:bCs/>
          <w:b/>
        </w:rPr>
        <w:t xml:space="preserve">Topics</w:t>
      </w:r>
      <w:r>
        <w:t xml:space="preserve"> </w:t>
      </w:r>
      <w:r>
        <w:t xml:space="preserve">- Framework design patterns — Page Object, Factory, Command, Builder, Strategy</w:t>
      </w:r>
      <w:r>
        <w:t xml:space="preserve"> </w:t>
      </w:r>
      <w:r>
        <w:t xml:space="preserve">- Integration testing with APIs and mock servers</w:t>
      </w:r>
      <w:r>
        <w:t xml:space="preserve"> </w:t>
      </w:r>
      <w:r>
        <w:t xml:space="preserve">- E2E web and mobile testing</w:t>
      </w:r>
      <w:r>
        <w:t xml:space="preserve"> </w:t>
      </w:r>
      <w:r>
        <w:t xml:space="preserve">-</w:t>
      </w:r>
      <w:r>
        <w:t xml:space="preserve"> </w:t>
      </w:r>
      <w:r>
        <w:rPr>
          <w:bCs/>
          <w:b/>
        </w:rPr>
        <w:t xml:space="preserve">Gherkin as an optional specification layer</w:t>
      </w:r>
      <w:r>
        <w:t xml:space="preserve"> </w:t>
      </w:r>
      <w:r>
        <w:t xml:space="preserve">— what it buys, what it costs, and the deciding question</w:t>
      </w:r>
      <w:r>
        <w:t xml:space="preserve"> </w:t>
      </w:r>
      <w:r>
        <w:t xml:space="preserve">- Static analysis and quality gates</w:t>
      </w:r>
      <w:r>
        <w:t xml:space="preserve"> </w:t>
      </w:r>
      <w:r>
        <w:t xml:space="preserve">- CI/CD pipeline automation</w:t>
      </w:r>
    </w:p>
    <w:p>
      <w:pPr>
        <w:pStyle w:val="BodyText"/>
      </w:pPr>
      <w:r>
        <w:rPr>
          <w:bCs/>
          <w:b/>
        </w:rPr>
        <w:t xml:space="preserve">Tools</w:t>
      </w:r>
      <w:r>
        <w:t xml:space="preserve"> </w:t>
      </w:r>
      <w:r>
        <w:t xml:space="preserve">— Selenium, Playwright, Cypress, REST Assured, Postman CLI, WireMock, TestContainers, Pact, SonarQube, GitHub Actions, Jenkins</w:t>
      </w:r>
    </w:p>
    <w:p>
      <w:pPr>
        <w:pStyle w:val="BodyText"/>
      </w:pPr>
      <w:r>
        <w:rPr>
          <w:bCs/>
          <w:b/>
        </w:rPr>
        <w:t xml:space="preserve">Deliverables</w:t>
      </w:r>
      <w:r>
        <w:t xml:space="preserve"> </w:t>
      </w:r>
      <w:r>
        <w:t xml:space="preserve">- Modular framework spanning unit + integration + E2E</w:t>
      </w:r>
      <w:r>
        <w:t xml:space="preserve"> </w:t>
      </w:r>
      <w:r>
        <w:t xml:space="preserve">- Static analysis and coverage integrated into CI/CD</w:t>
      </w:r>
      <w:r>
        <w:t xml:space="preserve"> </w:t>
      </w:r>
      <w:r>
        <w:t xml:space="preserve">- Functional Quality Gate milestone</w:t>
      </w:r>
      <w:r>
        <w:t xml:space="preserve"> </w:t>
      </w:r>
      <w:r>
        <w:t xml:space="preserve">- A reasoned Gherkin decision recorded in</w:t>
      </w:r>
      <w:r>
        <w:t xml:space="preserve"> </w:t>
      </w:r>
      <w:r>
        <w:rPr>
          <w:rStyle w:val="VerbatimChar"/>
        </w:rPr>
        <w:t xml:space="preserve">docs/test-strategy.md</w:t>
      </w:r>
    </w:p>
    <w:p>
      <w:r>
        <w:pict>
          <v:rect style="width:0;height:1.5pt" o:hralign="center" o:hrstd="t" o:hr="t"/>
        </w:pict>
      </w:r>
    </w:p>
    <w:bookmarkEnd w:id="28"/>
    <w:bookmarkStart w:id="29" w:name="Xdaf60069c11d85030f14934cffb42909f373e8a"/>
    <w:p>
      <w:pPr>
        <w:pStyle w:val="Heading1"/>
      </w:pPr>
      <w:r>
        <w:t xml:space="preserve">Phase 3 — Non-Functional Testing &amp; Quality Engineering</w:t>
      </w:r>
    </w:p>
    <w:p>
      <w:pPr>
        <w:pStyle w:val="FirstParagraph"/>
      </w:pPr>
      <w:r>
        <w:rPr>
          <w:bCs/>
          <w:b/>
        </w:rPr>
        <w:t xml:space="preserve">Week 3 · Make it trustworthy</w:t>
      </w:r>
    </w:p>
    <w:p>
      <w:pPr>
        <w:pStyle w:val="BlockText"/>
      </w:pPr>
      <w:r>
        <w:rPr>
          <w:bCs/>
          <w:b/>
        </w:rPr>
        <w:t xml:space="preserve">Requires from Week 2:</w:t>
      </w:r>
      <w:r>
        <w:t xml:space="preserve"> </w:t>
      </w:r>
      <w:r>
        <w:t xml:space="preserve">the CI pipeline (→ new stages attach to it) · E2E flows (→ load scenarios) · containerised deployment (→ the target under load).</w:t>
      </w:r>
    </w:p>
    <w:p>
      <w:pPr>
        <w:pStyle w:val="FirstParagraph"/>
      </w:pPr>
      <w:r>
        <w:rPr>
          <w:bCs/>
          <w:b/>
        </w:rPr>
        <w:t xml:space="preserve">Objectives</w:t>
      </w:r>
      <w:r>
        <w:t xml:space="preserve"> </w:t>
      </w:r>
      <w:r>
        <w:t xml:space="preserve">- Broaden testing scope to performance, load, stress, security and accessibility</w:t>
      </w:r>
      <w:r>
        <w:t xml:space="preserve"> </w:t>
      </w:r>
      <w:r>
        <w:t xml:space="preserve">- Automate and interpret non-functional metrics</w:t>
      </w:r>
      <w:r>
        <w:t xml:space="preserve"> </w:t>
      </w:r>
      <w:r>
        <w:t xml:space="preserve">- Integrate non-functional tests into CI/CD</w:t>
      </w:r>
    </w:p>
    <w:p>
      <w:pPr>
        <w:pStyle w:val="BodyText"/>
      </w:pPr>
      <w:r>
        <w:rPr>
          <w:bCs/>
          <w:b/>
        </w:rPr>
        <w:t xml:space="preserve">Topics</w:t>
      </w:r>
    </w:p>
    <w:p>
      <w:pPr>
        <w:numPr>
          <w:ilvl w:val="0"/>
          <w:numId w:val="1001"/>
        </w:numPr>
        <w:pStyle w:val="Compact"/>
      </w:pPr>
      <w:r>
        <w:rPr>
          <w:bCs/>
          <w:b/>
        </w:rPr>
        <w:t xml:space="preserve">Performance, Load &amp; Stress Testing</w:t>
      </w:r>
      <w:r>
        <w:t xml:space="preserve"> </w:t>
      </w:r>
      <w:r>
        <w:t xml:space="preserve">— definitions, KPIs, workload modelling, latency/throughput/error-rate analysis</w:t>
      </w:r>
      <w:r>
        <w:t xml:space="preserve"> </w:t>
      </w:r>
      <w:r>
        <w:rPr>
          <w:iCs/>
          <w:i/>
        </w:rPr>
        <w:t xml:space="preserve">Tools: k6, JMeter, Locust, Gatling</w:t>
      </w:r>
    </w:p>
    <w:p>
      <w:pPr>
        <w:numPr>
          <w:ilvl w:val="0"/>
          <w:numId w:val="1001"/>
        </w:numPr>
        <w:pStyle w:val="Compact"/>
      </w:pPr>
      <w:r>
        <w:rPr>
          <w:bCs/>
          <w:b/>
        </w:rPr>
        <w:t xml:space="preserve">Security Testing</w:t>
      </w:r>
      <w:r>
        <w:t xml:space="preserve"> </w:t>
      </w:r>
      <w:r>
        <w:t xml:space="preserve">— OWASP Top 10, API fuzzing, dependency scanning</w:t>
      </w:r>
      <w:r>
        <w:t xml:space="preserve"> </w:t>
      </w:r>
      <w:r>
        <w:rPr>
          <w:iCs/>
          <w:i/>
        </w:rPr>
        <w:t xml:space="preserve">Tools: ZAP, Snyk, Trivy</w:t>
      </w:r>
    </w:p>
    <w:p>
      <w:pPr>
        <w:numPr>
          <w:ilvl w:val="0"/>
          <w:numId w:val="1001"/>
        </w:numPr>
        <w:pStyle w:val="Compact"/>
      </w:pPr>
      <w:r>
        <w:rPr>
          <w:bCs/>
          <w:b/>
        </w:rPr>
        <w:t xml:space="preserve">Accessibility &amp; Usability</w:t>
      </w:r>
      <w:r>
        <w:t xml:space="preserve"> </w:t>
      </w:r>
      <w:r>
        <w:t xml:space="preserve">— WCAG 2.1 fundamentals, automated checks</w:t>
      </w:r>
      <w:r>
        <w:t xml:space="preserve"> </w:t>
      </w:r>
      <w:r>
        <w:rPr>
          <w:iCs/>
          <w:i/>
        </w:rPr>
        <w:t xml:space="preserve">Tools: axe-core, Lighthouse</w:t>
      </w:r>
    </w:p>
    <w:p>
      <w:pPr>
        <w:numPr>
          <w:ilvl w:val="0"/>
          <w:numId w:val="1001"/>
        </w:numPr>
        <w:pStyle w:val="Compact"/>
      </w:pPr>
      <w:r>
        <w:rPr>
          <w:bCs/>
          <w:b/>
        </w:rPr>
        <w:t xml:space="preserve">Reliability &amp; Scalability</w:t>
      </w:r>
      <w:r>
        <w:t xml:space="preserve"> </w:t>
      </w:r>
      <w:r>
        <w:t xml:space="preserve">— chaos engineering, monitoring, observability</w:t>
      </w:r>
      <w:r>
        <w:t xml:space="preserve"> </w:t>
      </w:r>
      <w:r>
        <w:rPr>
          <w:iCs/>
          <w:i/>
        </w:rPr>
        <w:t xml:space="preserve">Tools: Gremlin, Grafana</w:t>
      </w:r>
    </w:p>
    <w:p>
      <w:pPr>
        <w:pStyle w:val="FirstParagraph"/>
      </w:pPr>
      <w:r>
        <w:rPr>
          <w:bCs/>
          <w:b/>
        </w:rPr>
        <w:t xml:space="preserve">Deliverables</w:t>
      </w:r>
      <w:r>
        <w:t xml:space="preserve"> </w:t>
      </w:r>
      <w:r>
        <w:t xml:space="preserve">- Performance/load test stage added to CI/CD</w:t>
      </w:r>
      <w:r>
        <w:t xml:space="preserve"> </w:t>
      </w:r>
      <w:r>
        <w:t xml:space="preserve">- Metrics interpreted and reported (response times, success rate)</w:t>
      </w:r>
      <w:r>
        <w:t xml:space="preserve"> </w:t>
      </w:r>
      <w:r>
        <w:t xml:space="preserve">- Documented KPIs and quality goals</w:t>
      </w:r>
    </w:p>
    <w:p>
      <w:r>
        <w:pict>
          <v:rect style="width:0;height:1.5pt" o:hralign="center" o:hrstd="t" o:hr="t"/>
        </w:pict>
      </w:r>
    </w:p>
    <w:bookmarkEnd w:id="29"/>
    <w:bookmarkStart w:id="30" w:name="phase-4-capstone-assemble-harden-defend"/>
    <w:p>
      <w:pPr>
        <w:pStyle w:val="Heading1"/>
      </w:pPr>
      <w:r>
        <w:t xml:space="preserve">Phase 4 — Capstone: Assemble, Harden, Defend</w:t>
      </w:r>
    </w:p>
    <w:p>
      <w:pPr>
        <w:pStyle w:val="FirstParagraph"/>
      </w:pPr>
      <w:r>
        <w:rPr>
          <w:bCs/>
          <w:b/>
        </w:rPr>
        <w:t xml:space="preserve">Week 4 · Argue from evidence</w:t>
      </w:r>
    </w:p>
    <w:p>
      <w:pPr>
        <w:pStyle w:val="BlockText"/>
      </w:pPr>
      <w:r>
        <w:rPr>
          <w:bCs/>
          <w:b/>
        </w:rPr>
        <w:t xml:space="preserve">This is not a new project.</w:t>
      </w:r>
      <w:r>
        <w:t xml:space="preserve"> </w:t>
      </w:r>
      <w:r>
        <w:t xml:space="preserve">It assembles and defends the system built in Weeks 1–3. See the</w:t>
      </w:r>
      <w:r>
        <w:t xml:space="preserve"> </w:t>
      </w:r>
      <w:r>
        <w:rPr>
          <w:iCs/>
          <w:i/>
        </w:rPr>
        <w:t xml:space="preserve">Week 4 reader</w:t>
      </w:r>
      <w:r>
        <w:t xml:space="preserve">, chapter 2.</w:t>
      </w:r>
    </w:p>
    <w:p>
      <w:pPr>
        <w:pStyle w:val="FirstParagraph"/>
      </w:pPr>
      <w:r>
        <w:rPr>
          <w:bCs/>
          <w:b/>
        </w:rPr>
        <w:t xml:space="preserve">Objectives</w:t>
      </w:r>
      <w:r>
        <w:t xml:space="preserve"> </w:t>
      </w:r>
      <w:r>
        <w:t xml:space="preserve">- Demonstrate full-stack quality automation</w:t>
      </w:r>
      <w:r>
        <w:t xml:space="preserve"> </w:t>
      </w:r>
      <w:r>
        <w:t xml:space="preserve">- Present an integrated functional and non-functional testing solution</w:t>
      </w:r>
      <w:r>
        <w:t xml:space="preserve"> </w:t>
      </w:r>
      <w:r>
        <w:t xml:space="preserve">- Apply Clean Code and CI/CD best practice end to end</w:t>
      </w:r>
      <w:r>
        <w:t xml:space="preserve"> </w:t>
      </w:r>
      <w:r>
        <w:t xml:space="preserve">-</w:t>
      </w:r>
      <w:r>
        <w:t xml:space="preserve"> </w:t>
      </w:r>
      <w:r>
        <w:rPr>
          <w:bCs/>
          <w:b/>
        </w:rPr>
        <w:t xml:space="preserve">Place AI in the workflow honestly</w:t>
      </w:r>
      <w:r>
        <w:t xml:space="preserve"> </w:t>
      </w:r>
      <w:r>
        <w:t xml:space="preserve">— what it does to the mechanical half of</w:t>
      </w:r>
      <w:r>
        <w:t xml:space="preserve"> </w:t>
      </w:r>
      <w:r>
        <w:t xml:space="preserve">the work, why a test generated from code asserts the defect, and which</w:t>
      </w:r>
      <w:r>
        <w:t xml:space="preserve"> </w:t>
      </w:r>
      <w:r>
        <w:t xml:space="preserve">decisions stay human</w:t>
      </w:r>
    </w:p>
    <w:p>
      <w:pPr>
        <w:pStyle w:val="BodyText"/>
      </w:pPr>
      <w:r>
        <w:rPr>
          <w:bCs/>
          <w:b/>
        </w:rPr>
        <w:t xml:space="preserve">Capstone requirements</w:t>
      </w:r>
      <w:r>
        <w:t xml:space="preserve"> </w:t>
      </w:r>
      <w:r>
        <w:t xml:space="preserve">— all carried forward from Weeks 1–3, not built this week</w:t>
      </w:r>
    </w:p>
    <w:p>
      <w:pPr>
        <w:numPr>
          <w:ilvl w:val="0"/>
          <w:numId w:val="1002"/>
        </w:numPr>
        <w:pStyle w:val="Compact"/>
      </w:pPr>
      <w:r>
        <w:t xml:space="preserve">Functional tests — unit, integration, E2E</w:t>
      </w:r>
      <w:r>
        <w:t xml:space="preserve"> </w:t>
      </w:r>
      <w:r>
        <w:rPr>
          <w:iCs/>
          <w:i/>
        </w:rPr>
        <w:t xml:space="preserve">(Weeks 1–2)</w:t>
      </w:r>
    </w:p>
    <w:p>
      <w:pPr>
        <w:numPr>
          <w:ilvl w:val="0"/>
          <w:numId w:val="1002"/>
        </w:numPr>
        <w:pStyle w:val="Compact"/>
      </w:pPr>
      <w:r>
        <w:t xml:space="preserve">Non-functional tests — load, security, accessibility</w:t>
      </w:r>
      <w:r>
        <w:t xml:space="preserve"> </w:t>
      </w:r>
      <w:r>
        <w:rPr>
          <w:iCs/>
          <w:i/>
        </w:rPr>
        <w:t xml:space="preserve">(Week 3)</w:t>
      </w:r>
    </w:p>
    <w:p>
      <w:pPr>
        <w:numPr>
          <w:ilvl w:val="0"/>
          <w:numId w:val="1002"/>
        </w:numPr>
        <w:pStyle w:val="Compact"/>
      </w:pPr>
      <w:r>
        <w:t xml:space="preserve">Static analysis and coverage</w:t>
      </w:r>
      <w:r>
        <w:t xml:space="preserve"> </w:t>
      </w:r>
      <w:r>
        <w:rPr>
          <w:bCs/>
          <w:b/>
        </w:rPr>
        <w:t xml:space="preserve">≥ 80%</w:t>
      </w:r>
      <w:r>
        <w:t xml:space="preserve"> </w:t>
      </w:r>
      <w:r>
        <w:rPr>
          <w:iCs/>
          <w:i/>
        </w:rPr>
        <w:t xml:space="preserve">(Week 2, maintained)</w:t>
      </w:r>
    </w:p>
    <w:p>
      <w:pPr>
        <w:numPr>
          <w:ilvl w:val="0"/>
          <w:numId w:val="1002"/>
        </w:numPr>
        <w:pStyle w:val="Compact"/>
      </w:pPr>
      <w:r>
        <w:t xml:space="preserve">Full pipeline:</w:t>
      </w:r>
      <w:r>
        <w:t xml:space="preserve"> </w:t>
      </w:r>
      <w:r>
        <w:rPr>
          <w:bCs/>
          <w:b/>
        </w:rPr>
        <w:t xml:space="preserve">Build → Test → Analyze → LoadTest → Security → A11y → Deploy → Smoke</w:t>
      </w:r>
      <w:r>
        <w:t xml:space="preserve"> </w:t>
      </w:r>
      <w:r>
        <w:rPr>
          <w:iCs/>
          <w:i/>
        </w:rPr>
        <w:t xml:space="preserve">(Deploy and Smoke added this week)</w:t>
      </w:r>
    </w:p>
    <w:p>
      <w:pPr>
        <w:numPr>
          <w:ilvl w:val="0"/>
          <w:numId w:val="1002"/>
        </w:numPr>
        <w:pStyle w:val="Compact"/>
      </w:pPr>
      <w:r>
        <w:t xml:space="preserve">Four-week metrics report showing</w:t>
      </w:r>
      <w:r>
        <w:t xml:space="preserve"> </w:t>
      </w:r>
      <w:r>
        <w:rPr>
          <w:bCs/>
          <w:b/>
        </w:rPr>
        <w:t xml:space="preserve">trend</w:t>
      </w:r>
      <w:r>
        <w:t xml:space="preserve">, and a defended presentation</w:t>
      </w:r>
    </w:p>
    <w:p>
      <w:pPr>
        <w:pStyle w:val="FirstParagraph"/>
      </w:pPr>
      <w:r>
        <w:rPr>
          <w:bCs/>
          <w:b/>
        </w:rPr>
        <w:t xml:space="preserve">Deliverables</w:t>
      </w:r>
      <w:r>
        <w:t xml:space="preserve"> </w:t>
      </w:r>
      <w:r>
        <w:t xml:space="preserve">- GitHub repository with working pipelines — all eight stages enabled and green</w:t>
      </w:r>
      <w:r>
        <w:t xml:space="preserve"> </w:t>
      </w:r>
      <w:r>
        <w:t xml:space="preserve">-</w:t>
      </w:r>
      <w:r>
        <w:t xml:space="preserve"> </w:t>
      </w:r>
      <w:r>
        <w:rPr>
          <w:rStyle w:val="VerbatimChar"/>
        </w:rPr>
        <w:t xml:space="preserve">docs/NFT-Strategy.md</w:t>
      </w:r>
      <w:r>
        <w:t xml:space="preserve">, with the tuning experiment: a measured p95 before, one</w:t>
      </w:r>
      <w:r>
        <w:t xml:space="preserve"> </w:t>
      </w:r>
      <w:r>
        <w:t xml:space="preserve">named change, and the measured p95 after</w:t>
      </w:r>
      <w:r>
        <w:t xml:space="preserve"> </w:t>
      </w:r>
      <w:r>
        <w:t xml:space="preserve">- Security triage: 0 critical</w:t>
      </w:r>
      <w:r>
        <w:t xml:space="preserve"> </w:t>
      </w:r>
      <w:r>
        <w:rPr>
          <w:bCs/>
          <w:b/>
        </w:rPr>
        <w:t xml:space="preserve">and</w:t>
      </w:r>
      <w:r>
        <w:t xml:space="preserve"> </w:t>
      </w:r>
      <w:r>
        <w:t xml:space="preserve">0 high CVEs, with anything accepted</w:t>
      </w:r>
      <w:r>
        <w:t xml:space="preserve"> </w:t>
      </w:r>
      <w:r>
        <w:t xml:space="preserve">recorded as accepted risk rather than silently passed</w:t>
      </w:r>
      <w:r>
        <w:t xml:space="preserve"> </w:t>
      </w:r>
      <w:r>
        <w:t xml:space="preserve">- Accessibility: Lighthouse ≥ 95 with 0 critical and 0 serious axe violations</w:t>
      </w:r>
      <w:r>
        <w:t xml:space="preserve"> </w:t>
      </w:r>
      <w:r>
        <w:t xml:space="preserve">- Capstone defence — 15-minute presentation + questions</w:t>
      </w:r>
      <w:r>
        <w:t xml:space="preserve"> </w:t>
      </w:r>
      <w:r>
        <w:t xml:space="preserve">- Four-week metrics report with an explained regression</w:t>
      </w:r>
      <w:r>
        <w:t xml:space="preserve"> </w:t>
      </w:r>
      <w:r>
        <w:t xml:space="preserve">- Closed gap list, or remaining items documented as accepted risk</w:t>
      </w:r>
    </w:p>
    <w:p>
      <w:pPr>
        <w:pStyle w:val="BlockText"/>
      </w:pPr>
      <w:r>
        <w:t xml:space="preserve">The middle three are Week 3 exit gates, not Week 4 additions. They are listed</w:t>
      </w:r>
      <w:r>
        <w:t xml:space="preserve"> </w:t>
      </w:r>
      <w:r>
        <w:t xml:space="preserve">here because a Phase 3 deliverables list that stops at</w:t>
      </w:r>
      <w:r>
        <w:t xml:space="preserve"> </w:t>
      </w:r>
      <w:r>
        <w:t xml:space="preserve">“</w:t>
      </w:r>
      <w:r>
        <w:t xml:space="preserve">working pipelines</w:t>
      </w:r>
      <w:r>
        <w:t xml:space="preserve">”</w:t>
      </w:r>
      <w:r>
        <w:t xml:space="preserve"> </w:t>
      </w:r>
      <w:r>
        <w:t xml:space="preserve">reads as though the security, accessibility and tuning work were optional</w:t>
      </w:r>
      <w:r>
        <w:t xml:space="preserve"> </w:t>
      </w:r>
      <w:r>
        <w:t xml:space="preserve">polish. A learner who arrives at the capstone without the tuning experiment</w:t>
      </w:r>
      <w:r>
        <w:t xml:space="preserve"> </w:t>
      </w:r>
      <w:r>
        <w:t xml:space="preserve">has no before-and-after to defend, which is most of the fifteen minutes.</w:t>
      </w:r>
    </w:p>
    <w:p>
      <w:r>
        <w:pict>
          <v:rect style="width:0;height:1.5pt" o:hralign="center" o:hrstd="t" o:hr="t"/>
        </w:pict>
      </w:r>
    </w:p>
    <w:bookmarkEnd w:id="30"/>
    <w:bookmarkStart w:id="31" w:name="appendices-tools-references"/>
    <w:p>
      <w:pPr>
        <w:pStyle w:val="Heading1"/>
      </w:pPr>
      <w:r>
        <w:t xml:space="preserve">Appendices — Tools &amp; References</w:t>
      </w:r>
    </w:p>
    <w:p>
      <w:pPr>
        <w:pStyle w:val="FirstParagraph"/>
      </w:pPr>
      <w:r>
        <w:t xml:space="preserve">Setup guides, checklists, glossary, APA references.</w:t>
      </w:r>
    </w:p>
    <w:p>
      <w:r>
        <w:pict>
          <v:rect style="width:0;height:1.5pt" o:hralign="center" o:hrstd="t" o:hr="t"/>
        </w:pict>
      </w:r>
    </w:p>
    <w:bookmarkEnd w:id="31"/>
    <w:bookmarkStart w:id="32" w:name="graduate-learning-outcomes"/>
    <w:p>
      <w:pPr>
        <w:pStyle w:val="Heading1"/>
      </w:pPr>
      <w:r>
        <w:t xml:space="preserve">Graduate learning outcomes</w:t>
      </w:r>
    </w:p>
    <w:p>
      <w:pPr>
        <w:pStyle w:val="FirstParagraph"/>
      </w:pPr>
      <w:r>
        <w:t xml:space="preserve">On completion, a graduate can:</w:t>
      </w:r>
    </w:p>
    <w:p>
      <w:pPr>
        <w:numPr>
          <w:ilvl w:val="0"/>
          <w:numId w:val="1003"/>
        </w:numPr>
        <w:pStyle w:val="Compact"/>
      </w:pPr>
      <w:r>
        <w:t xml:space="preserve">Translate requirements into automated test plans</w:t>
      </w:r>
    </w:p>
    <w:p>
      <w:pPr>
        <w:numPr>
          <w:ilvl w:val="0"/>
          <w:numId w:val="1003"/>
        </w:numPr>
        <w:pStyle w:val="Compact"/>
      </w:pPr>
      <w:r>
        <w:t xml:space="preserve">Judge whether a specification DSL is justified for a project, and defend the decision</w:t>
      </w:r>
    </w:p>
    <w:p>
      <w:pPr>
        <w:numPr>
          <w:ilvl w:val="0"/>
          <w:numId w:val="1003"/>
        </w:numPr>
        <w:pStyle w:val="Compact"/>
      </w:pPr>
      <w:r>
        <w:t xml:space="preserve">Design maintainable test architectures using Clean Code principles</w:t>
      </w:r>
    </w:p>
    <w:p>
      <w:pPr>
        <w:numPr>
          <w:ilvl w:val="0"/>
          <w:numId w:val="1003"/>
        </w:numPr>
        <w:pStyle w:val="Compact"/>
      </w:pPr>
      <w:r>
        <w:t xml:space="preserve">Build layered test suites — Unit → Integration → E2E</w:t>
      </w:r>
    </w:p>
    <w:p>
      <w:pPr>
        <w:numPr>
          <w:ilvl w:val="0"/>
          <w:numId w:val="1003"/>
        </w:numPr>
        <w:pStyle w:val="Compact"/>
      </w:pPr>
      <w:r>
        <w:t xml:space="preserve">Integrate static analysis, coverage and performance tests into CI/CD</w:t>
      </w:r>
    </w:p>
    <w:p>
      <w:pPr>
        <w:numPr>
          <w:ilvl w:val="0"/>
          <w:numId w:val="1003"/>
        </w:numPr>
        <w:pStyle w:val="Compact"/>
      </w:pPr>
      <w:r>
        <w:t xml:space="preserve">Interpret quality metrics for data-driven decisions</w:t>
      </w:r>
    </w:p>
    <w:p>
      <w:pPr>
        <w:numPr>
          <w:ilvl w:val="0"/>
          <w:numId w:val="1003"/>
        </w:numPr>
        <w:pStyle w:val="Compact"/>
      </w:pPr>
      <w:r>
        <w:t xml:space="preserve">Conduct and report non-functional testing — performance, security, accessibility</w:t>
      </w:r>
    </w:p>
    <w:p>
      <w:pPr>
        <w:numPr>
          <w:ilvl w:val="0"/>
          <w:numId w:val="1003"/>
        </w:numPr>
        <w:pStyle w:val="Compact"/>
      </w:pPr>
      <w:r>
        <w:t xml:space="preserve">Present a complete automation project from requirement through continuous delivery</w:t>
      </w:r>
    </w:p>
    <w:p>
      <w:r>
        <w:pict>
          <v:rect style="width:0;height:1.5pt" o:hralign="center" o:hrstd="t" o:hr="t"/>
        </w:pict>
      </w:r>
    </w:p>
    <w:bookmarkEnd w:id="32"/>
    <w:bookmarkStart w:id="34" w:name="evaluation-rubric"/>
    <w:p>
      <w:pPr>
        <w:pStyle w:val="Heading1"/>
      </w:pPr>
      <w:r>
        <w:t xml:space="preserve">Evaluation rubric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Weight</w:t>
            </w:r>
          </w:p>
        </w:tc>
      </w:tr>
      <w:tr>
        <w:tc>
          <w:tcPr/>
          <w:p>
            <w:pPr>
              <w:pStyle w:val="Compact"/>
              <w:jc w:val="left"/>
            </w:pPr>
            <w:r>
              <w:t xml:space="preserve">Clean Code &amp; Architecture</w:t>
            </w:r>
          </w:p>
        </w:tc>
        <w:tc>
          <w:tcPr/>
          <w:p>
            <w:pPr>
              <w:pStyle w:val="Compact"/>
              <w:jc w:val="left"/>
            </w:pPr>
            <w:r>
              <w:t xml:space="preserve">SOLID, DRY, readability, naming</w:t>
            </w:r>
          </w:p>
        </w:tc>
        <w:tc>
          <w:tcPr/>
          <w:p>
            <w:pPr>
              <w:pStyle w:val="Compact"/>
              <w:jc w:val="left"/>
            </w:pPr>
            <w:r>
              <w:rPr>
                <w:bCs/>
                <w:b/>
              </w:rPr>
              <w:t xml:space="preserve">15%</w:t>
            </w:r>
          </w:p>
        </w:tc>
      </w:tr>
      <w:tr>
        <w:tc>
          <w:tcPr/>
          <w:p>
            <w:pPr>
              <w:pStyle w:val="Compact"/>
              <w:jc w:val="left"/>
            </w:pPr>
            <w:r>
              <w:t xml:space="preserve">Functional Automation</w:t>
            </w:r>
          </w:p>
        </w:tc>
        <w:tc>
          <w:tcPr/>
          <w:p>
            <w:pPr>
              <w:pStyle w:val="Compact"/>
              <w:jc w:val="left"/>
            </w:pPr>
            <w:r>
              <w:t xml:space="preserve">Unit, integration, E2E completeness</w:t>
            </w:r>
          </w:p>
        </w:tc>
        <w:tc>
          <w:tcPr/>
          <w:p>
            <w:pPr>
              <w:pStyle w:val="Compact"/>
              <w:jc w:val="left"/>
            </w:pPr>
            <w:r>
              <w:rPr>
                <w:bCs/>
                <w:b/>
              </w:rPr>
              <w:t xml:space="preserve">15%</w:t>
            </w:r>
          </w:p>
        </w:tc>
      </w:tr>
      <w:tr>
        <w:tc>
          <w:tcPr/>
          <w:p>
            <w:pPr>
              <w:pStyle w:val="Compact"/>
              <w:jc w:val="left"/>
            </w:pPr>
            <w:r>
              <w:t xml:space="preserve">Non-Functional Automation</w:t>
            </w:r>
          </w:p>
        </w:tc>
        <w:tc>
          <w:tcPr/>
          <w:p>
            <w:pPr>
              <w:pStyle w:val="Compact"/>
              <w:jc w:val="left"/>
            </w:pPr>
            <w:r>
              <w:t xml:space="preserve">Performance, load, security, accessibility</w:t>
            </w:r>
          </w:p>
        </w:tc>
        <w:tc>
          <w:tcPr/>
          <w:p>
            <w:pPr>
              <w:pStyle w:val="Compact"/>
              <w:jc w:val="left"/>
            </w:pPr>
            <w:r>
              <w:rPr>
                <w:bCs/>
                <w:b/>
              </w:rPr>
              <w:t xml:space="preserve">15%</w:t>
            </w:r>
          </w:p>
        </w:tc>
      </w:tr>
      <w:tr>
        <w:tc>
          <w:tcPr/>
          <w:p>
            <w:pPr>
              <w:pStyle w:val="Compact"/>
              <w:jc w:val="left"/>
            </w:pPr>
            <w:r>
              <w:t xml:space="preserve">Static Analysis &amp; Coverage</w:t>
            </w:r>
          </w:p>
        </w:tc>
        <w:tc>
          <w:tcPr/>
          <w:p>
            <w:pPr>
              <w:pStyle w:val="Compact"/>
              <w:jc w:val="left"/>
            </w:pPr>
            <w:r>
              <w:t xml:space="preserve">Quality gates and coverage targets met</w:t>
            </w:r>
          </w:p>
        </w:tc>
        <w:tc>
          <w:tcPr/>
          <w:p>
            <w:pPr>
              <w:pStyle w:val="Compact"/>
              <w:jc w:val="left"/>
            </w:pPr>
            <w:r>
              <w:rPr>
                <w:bCs/>
                <w:b/>
              </w:rPr>
              <w:t xml:space="preserve">15%</w:t>
            </w:r>
          </w:p>
        </w:tc>
      </w:tr>
      <w:tr>
        <w:tc>
          <w:tcPr/>
          <w:p>
            <w:pPr>
              <w:pStyle w:val="Compact"/>
              <w:jc w:val="left"/>
            </w:pPr>
            <w:r>
              <w:t xml:space="preserve">CI/CD Implementation</w:t>
            </w:r>
          </w:p>
        </w:tc>
        <w:tc>
          <w:tcPr/>
          <w:p>
            <w:pPr>
              <w:pStyle w:val="Compact"/>
              <w:jc w:val="left"/>
            </w:pPr>
            <w:r>
              <w:t xml:space="preserve">Reliability, modularity, artifact management</w:t>
            </w:r>
          </w:p>
        </w:tc>
        <w:tc>
          <w:tcPr/>
          <w:p>
            <w:pPr>
              <w:pStyle w:val="Compact"/>
              <w:jc w:val="left"/>
            </w:pPr>
            <w:r>
              <w:rPr>
                <w:bCs/>
                <w:b/>
              </w:rPr>
              <w:t xml:space="preserve">15%</w:t>
            </w:r>
          </w:p>
        </w:tc>
      </w:tr>
      <w:tr>
        <w:tc>
          <w:tcPr/>
          <w:p>
            <w:pPr>
              <w:pStyle w:val="Compact"/>
              <w:jc w:val="left"/>
            </w:pPr>
            <w:r>
              <w:t xml:space="preserve">Capstone Defence</w:t>
            </w:r>
          </w:p>
        </w:tc>
        <w:tc>
          <w:tcPr/>
          <w:p>
            <w:pPr>
              <w:pStyle w:val="Compact"/>
              <w:jc w:val="left"/>
            </w:pPr>
            <w:r>
              <w:t xml:space="preserve">Clarity, metrics interpretation, innovation</w:t>
            </w:r>
          </w:p>
        </w:tc>
        <w:tc>
          <w:tcPr/>
          <w:p>
            <w:pPr>
              <w:pStyle w:val="Compact"/>
              <w:jc w:val="left"/>
            </w:pPr>
            <w:r>
              <w:rPr>
                <w:bCs/>
                <w:b/>
              </w:rPr>
              <w:t xml:space="preserve">15%</w:t>
            </w:r>
          </w:p>
        </w:tc>
      </w:tr>
      <w:tr>
        <w:tc>
          <w:tcPr/>
          <w:p>
            <w:pPr>
              <w:pStyle w:val="Compact"/>
              <w:jc w:val="left"/>
            </w:pPr>
            <w:r>
              <w:rPr>
                <w:bCs/>
                <w:b/>
              </w:rPr>
              <w:t xml:space="preserve">Transferable judgement</w:t>
            </w:r>
          </w:p>
        </w:tc>
        <w:tc>
          <w:tcPr/>
          <w:p>
            <w:pPr>
              <w:pStyle w:val="Compact"/>
              <w:jc w:val="left"/>
            </w:pPr>
            <w:r>
              <w:rPr>
                <w:bCs/>
                <w:b/>
              </w:rPr>
              <w:t xml:space="preserve">Appendix C §C.1 and §C.12</w:t>
            </w:r>
            <w:r>
              <w:t xml:space="preserve"> </w:t>
            </w:r>
            <w:r>
              <w:t xml:space="preserve">— the order automation is built in, and what a tool cannot see</w:t>
            </w:r>
          </w:p>
        </w:tc>
        <w:tc>
          <w:tcPr/>
          <w:p>
            <w:pPr>
              <w:pStyle w:val="Compact"/>
              <w:jc w:val="left"/>
            </w:pPr>
            <w:r>
              <w:rPr>
                <w:bCs/>
                <w:b/>
              </w:rPr>
              <w:t xml:space="preserve">10%</w:t>
            </w:r>
          </w:p>
        </w:tc>
      </w:tr>
    </w:tbl>
    <w:bookmarkStart w:id="33" w:name="X440aaa65d6e3f6ac53d2e8be0ce8952c06dfc3c"/>
    <w:p>
      <w:pPr>
        <w:pStyle w:val="Heading2"/>
      </w:pPr>
      <w:r>
        <w:t xml:space="preserve">Transferable judgement — what it assesses, and how</w:t>
      </w:r>
    </w:p>
    <w:p>
      <w:pPr>
        <w:pStyle w:val="FirstParagraph"/>
      </w:pPr>
      <w:r>
        <w:t xml:space="preserve">This category exists because the program’s goal is</w:t>
      </w:r>
      <w:r>
        <w:t xml:space="preserve"> </w:t>
      </w:r>
      <w:r>
        <w:rPr>
          <w:iCs/>
          <w:i/>
        </w:rPr>
        <w:t xml:space="preserve">“</w:t>
      </w:r>
      <w:r>
        <w:rPr>
          <w:iCs/>
          <w:i/>
        </w:rPr>
        <w:t xml:space="preserve">know what to do in terms of</w:t>
      </w:r>
      <w:r>
        <w:rPr>
          <w:iCs/>
          <w:i/>
        </w:rPr>
        <w:t xml:space="preserve"> </w:t>
      </w:r>
      <w:r>
        <w:rPr>
          <w:iCs/>
          <w:i/>
        </w:rPr>
        <w:t xml:space="preserve">automation — not just one tool; well versed in theory and able to transfer that</w:t>
      </w:r>
      <w:r>
        <w:rPr>
          <w:iCs/>
          <w:i/>
        </w:rPr>
        <w:t xml:space="preserve"> </w:t>
      </w:r>
      <w:r>
        <w:rPr>
          <w:iCs/>
          <w:i/>
        </w:rPr>
        <w:t xml:space="preserve">knowledge between tools</w:t>
      </w:r>
      <w:r>
        <w:rPr>
          <w:iCs/>
          <w:i/>
        </w:rPr>
        <w:t xml:space="preserve">”</w:t>
      </w:r>
      <w:r>
        <w:t xml:space="preserve"> </w:t>
      </w:r>
      <w:r>
        <w:t xml:space="preserve">— and until it was added, nothing in the rubric</w:t>
      </w:r>
      <w:r>
        <w:t xml:space="preserve"> </w:t>
      </w:r>
      <w:r>
        <w:t xml:space="preserve">rewarded that. Six categories measured what a learner built. None measured</w:t>
      </w:r>
      <w:r>
        <w:t xml:space="preserve"> </w:t>
      </w:r>
      <w:r>
        <w:t xml:space="preserve">whether they could do it again somewhere else, with different tools.</w:t>
      </w:r>
    </w:p>
    <w:p>
      <w:pPr>
        <w:pStyle w:val="BodyText"/>
      </w:pPr>
      <w:r>
        <w:t xml:space="preserve">It is assessed in the Week 4 defence, in two questions asked of every learner:</w:t>
      </w:r>
    </w:p>
    <w:p>
      <w:pPr>
        <w:numPr>
          <w:ilvl w:val="0"/>
          <w:numId w:val="1004"/>
        </w:numPr>
        <w:pStyle w:val="Compact"/>
      </w:pPr>
      <w:r>
        <w:rPr>
          <w:bCs/>
          <w:b/>
        </w:rPr>
        <w:t xml:space="preserve">“</w:t>
      </w:r>
      <w:r>
        <w:rPr>
          <w:bCs/>
          <w:b/>
        </w:rPr>
        <w:t xml:space="preserve">Place your project on §C.1’s eleven steps. Which did you do out of order,</w:t>
      </w:r>
      <w:r>
        <w:rPr>
          <w:bCs/>
          <w:b/>
        </w:rPr>
        <w:t xml:space="preserve"> </w:t>
      </w:r>
      <w:r>
        <w:rPr>
          <w:bCs/>
          <w:b/>
        </w:rPr>
        <w:t xml:space="preserve">and what did it cost you?</w:t>
      </w:r>
      <w:r>
        <w:rPr>
          <w:bCs/>
          <w:b/>
        </w:rPr>
        <w:t xml:space="preserve">”</w:t>
      </w:r>
      <w:r>
        <w:t xml:space="preserve"> </w:t>
      </w:r>
      <w:r>
        <w:t xml:space="preserve">Every learner does something out of order,</w:t>
      </w:r>
      <w:r>
        <w:t xml:space="preserve"> </w:t>
      </w:r>
      <w:r>
        <w:t xml:space="preserve">because the course sequence is not the greenfield sequence — Week 2’s E2E</w:t>
      </w:r>
      <w:r>
        <w:t xml:space="preserve"> </w:t>
      </w:r>
      <w:r>
        <w:t xml:space="preserve">work arrives before most learners would choose it on a real project. A</w:t>
      </w:r>
      <w:r>
        <w:t xml:space="preserve"> </w:t>
      </w:r>
      <w:r>
        <w:t xml:space="preserve">learner who can name their own deviation and its price understands the order.</w:t>
      </w:r>
      <w:r>
        <w:t xml:space="preserve"> </w:t>
      </w:r>
      <w:r>
        <w:t xml:space="preserve">One who says they followed it exactly has not read it.</w:t>
      </w:r>
    </w:p>
    <w:p>
      <w:pPr>
        <w:numPr>
          <w:ilvl w:val="0"/>
          <w:numId w:val="1004"/>
        </w:numPr>
        <w:pStyle w:val="Compact"/>
      </w:pPr>
      <w:r>
        <w:rPr>
          <w:bCs/>
          <w:b/>
        </w:rPr>
        <w:t xml:space="preserve">“</w:t>
      </w:r>
      <w:r>
        <w:rPr>
          <w:bCs/>
          <w:b/>
        </w:rPr>
        <w:t xml:space="preserve">Name one tool in your stack, its blind spot, and what a green run does not</w:t>
      </w:r>
      <w:r>
        <w:rPr>
          <w:bCs/>
          <w:b/>
        </w:rPr>
        <w:t xml:space="preserve"> </w:t>
      </w:r>
      <w:r>
        <w:rPr>
          <w:bCs/>
          <w:b/>
        </w:rPr>
        <w:t xml:space="preserve">prove.</w:t>
      </w:r>
      <w:r>
        <w:rPr>
          <w:bCs/>
          <w:b/>
        </w:rPr>
        <w:t xml:space="preserve">”</w:t>
      </w:r>
      <w:r>
        <w:t xml:space="preserve"> </w:t>
      </w:r>
      <w:r>
        <w:t xml:space="preserve">This is §C.12 step 4, which the appendix calls the step that</w:t>
      </w:r>
      <w:r>
        <w:t xml:space="preserve"> </w:t>
      </w:r>
      <w:r>
        <w:t xml:space="preserve">separates people. It is not a memory question: the blind spots are in the</w:t>
      </w:r>
      <w:r>
        <w:t xml:space="preserve"> </w:t>
      </w:r>
      <w:r>
        <w:rPr>
          <w:iCs/>
          <w:i/>
        </w:rPr>
        <w:t xml:space="preserve">What they are bad at</w:t>
      </w:r>
      <w:r>
        <w:t xml:space="preserve"> </w:t>
      </w:r>
      <w:r>
        <w:t xml:space="preserve">section of every category, and a learner who has met</w:t>
      </w:r>
      <w:r>
        <w:t xml:space="preserve"> </w:t>
      </w:r>
      <w:r>
        <w:t xml:space="preserve">the tool has met the blind spot.</w:t>
      </w:r>
    </w:p>
    <w:p>
      <w:pPr>
        <w:pStyle w:val="FirstParagraph"/>
      </w:pPr>
      <w:r>
        <w:rPr>
          <w:bCs/>
          <w:b/>
        </w:rPr>
        <w:t xml:space="preserve">Both questions are answerable by a learner who used entirely different tools</w:t>
      </w:r>
      <w:r>
        <w:rPr>
          <w:bCs/>
          <w:b/>
        </w:rPr>
        <w:t xml:space="preserve"> </w:t>
      </w:r>
      <w:r>
        <w:rPr>
          <w:bCs/>
          <w:b/>
        </w:rPr>
        <w:t xml:space="preserve">from the ones taught</w:t>
      </w:r>
      <w:r>
        <w:t xml:space="preserve"> </w:t>
      </w:r>
      <w:r>
        <w:t xml:space="preserve">— which is the point, and is the test of whether this</w:t>
      </w:r>
      <w:r>
        <w:t xml:space="preserve"> </w:t>
      </w:r>
      <w:r>
        <w:t xml:space="preserve">category is doing its job rather than re-scoring the other six.</w:t>
      </w:r>
    </w:p>
    <w:p>
      <w:pPr>
        <w:pStyle w:val="BlockText"/>
      </w:pPr>
      <w:r>
        <w:rPr>
          <w:bCs/>
          <w:b/>
        </w:rPr>
        <w:t xml:space="preserve">The weights moved to make room.</w:t>
      </w:r>
      <w:r>
        <w:t xml:space="preserve"> </w:t>
      </w:r>
      <w:r>
        <w:t xml:space="preserve">Functional and Non-Functional Automation</w:t>
      </w:r>
      <w:r>
        <w:t xml:space="preserve"> </w:t>
      </w:r>
      <w:r>
        <w:t xml:space="preserve">were 20% each and are now 15%, which puts all six execution categories at the</w:t>
      </w:r>
      <w:r>
        <w:t xml:space="preserve"> </w:t>
      </w:r>
      <w:r>
        <w:t xml:space="preserve">same weight and reads more honestly than the old split did: there was never a</w:t>
      </w:r>
      <w:r>
        <w:t xml:space="preserve"> </w:t>
      </w:r>
      <w:r>
        <w:t xml:space="preserve">defensible reason why building the E2E suite was worth more than building the</w:t>
      </w:r>
      <w:r>
        <w:t xml:space="preserve"> </w:t>
      </w:r>
      <w:r>
        <w:t xml:space="preserve">pipeline. Nothing was taken from the Defence, because the two questions above</w:t>
      </w:r>
      <w:r>
        <w:t xml:space="preserve"> </w:t>
      </w:r>
      <w:r>
        <w:t xml:space="preserve">are asked</w:t>
      </w:r>
      <w:r>
        <w:t xml:space="preserve"> </w:t>
      </w:r>
      <w:r>
        <w:rPr>
          <w:iCs/>
          <w:i/>
        </w:rPr>
        <w:t xml:space="preserve">in</w:t>
      </w:r>
      <w:r>
        <w:t xml:space="preserve"> </w:t>
      </w:r>
      <w:r>
        <w:t xml:space="preserve">the defence and would have been paid for twice.</w:t>
      </w:r>
    </w:p>
    <w:p>
      <w:r>
        <w:pict>
          <v:rect style="width:0;height:1.5pt" o:hralign="center" o:hrstd="t" o:hr="t"/>
        </w:pict>
      </w:r>
    </w:p>
    <w:bookmarkEnd w:id="33"/>
    <w:bookmarkEnd w:id="34"/>
    <w:bookmarkStart w:id="46" w:name="Xa6cae3512b5091889e84a00d4444f272b9650da"/>
    <w:p>
      <w:pPr>
        <w:pStyle w:val="Heading1"/>
      </w:pPr>
      <w:r>
        <w:t xml:space="preserve">Marking bands — what each score actually means</w:t>
      </w:r>
    </w:p>
    <w:p>
      <w:pPr>
        <w:pStyle w:val="FirstParagraph"/>
      </w:pPr>
      <w:r>
        <w:rPr>
          <w:bCs/>
          <w:b/>
        </w:rPr>
        <w:t xml:space="preserve">A weighted rubric with no band descriptors is not an assessment, it is seven</w:t>
      </w:r>
      <w:r>
        <w:rPr>
          <w:bCs/>
          <w:b/>
        </w:rPr>
        <w:t xml:space="preserve"> </w:t>
      </w:r>
      <w:r>
        <w:rPr>
          <w:bCs/>
          <w:b/>
        </w:rPr>
        <w:t xml:space="preserve">opinions with percentages attached.</w:t>
      </w:r>
      <w:r>
        <w:t xml:space="preserve"> </w:t>
      </w:r>
      <w:r>
        <w:t xml:space="preserve">Two assessors marking the same defence</w:t>
      </w:r>
      <w:r>
        <w:t xml:space="preserve"> </w:t>
      </w:r>
      <w:r>
        <w:t xml:space="preserve">would disagree, and a credential nobody can mark consistently is not worth</w:t>
      </w:r>
      <w:r>
        <w:t xml:space="preserve"> </w:t>
      </w:r>
      <w:r>
        <w:t xml:space="preserve">issuing. This section is the definition; the instructor guide carries a</w:t>
      </w:r>
      <w:r>
        <w:t xml:space="preserve"> </w:t>
      </w:r>
      <w:r>
        <w:rPr>
          <w:bCs/>
          <w:b/>
        </w:rPr>
        <w:t xml:space="preserve">worked</w:t>
      </w:r>
      <w:r>
        <w:rPr>
          <w:bCs/>
          <w:b/>
        </w:rPr>
        <w:t xml:space="preserve"> </w:t>
      </w:r>
      <w:r>
        <w:rPr>
          <w:bCs/>
          <w:b/>
        </w:rPr>
        <w:t xml:space="preserve">exemplar</w:t>
      </w:r>
      <w:r>
        <w:t xml:space="preserve"> </w:t>
      </w:r>
      <w:r>
        <w:t xml:space="preserve">— a full defence, marked, with the reasoning written out — and the</w:t>
      </w:r>
      <w:r>
        <w:t xml:space="preserve"> </w:t>
      </w:r>
      <w:r>
        <w:t xml:space="preserve">moderation rule.</w:t>
      </w:r>
    </w:p>
    <w:bookmarkStart w:id="35" w:name="the-four-bands"/>
    <w:p>
      <w:pPr>
        <w:pStyle w:val="Heading2"/>
      </w:pPr>
      <w:r>
        <w:t xml:space="preserve">The four bands</w:t>
      </w:r>
    </w:p>
    <w:p>
      <w:pPr>
        <w:pStyle w:val="FirstParagraph"/>
      </w:pPr>
      <w:r>
        <w:t xml:space="preserve">Each band is a share of that category’s weight. A 15% category scored</w:t>
      </w:r>
      <w:r>
        <w:t xml:space="preserve"> </w:t>
      </w:r>
      <w:r>
        <w:rPr>
          <w:iCs/>
          <w:i/>
        </w:rPr>
        <w:t xml:space="preserve">Proficient</w:t>
      </w:r>
      <w:r>
        <w:t xml:space="preserve"> </w:t>
      </w:r>
      <w:r>
        <w:t xml:space="preserve">at 75% contributes 11.25 marks.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w:t>
            </w:r>
          </w:p>
        </w:tc>
        <w:tc>
          <w:tcPr/>
          <w:p>
            <w:pPr>
              <w:pStyle w:val="Compact"/>
              <w:jc w:val="left"/>
            </w:pPr>
            <w:r>
              <w:t xml:space="preserve">Share</w:t>
            </w:r>
          </w:p>
        </w:tc>
        <w:tc>
          <w:tcPr/>
          <w:p>
            <w:pPr>
              <w:pStyle w:val="Compact"/>
              <w:jc w:val="left"/>
            </w:pPr>
            <w:r>
              <w:t xml:space="preserve">What it means</w:t>
            </w:r>
          </w:p>
        </w:tc>
      </w:tr>
      <w:tr>
        <w:tc>
          <w:tcPr/>
          <w:p>
            <w:pPr>
              <w:pStyle w:val="Compact"/>
              <w:jc w:val="left"/>
            </w:pPr>
            <w:r>
              <w:rPr>
                <w:bCs/>
                <w:b/>
              </w:rPr>
              <w:t xml:space="preserve">Distinguished</w:t>
            </w:r>
          </w:p>
        </w:tc>
        <w:tc>
          <w:tcPr/>
          <w:p>
            <w:pPr>
              <w:pStyle w:val="Compact"/>
              <w:jc w:val="left"/>
            </w:pPr>
            <w:r>
              <w:t xml:space="preserve">85–100%</w:t>
            </w:r>
          </w:p>
        </w:tc>
        <w:tc>
          <w:tcPr/>
          <w:p>
            <w:pPr>
              <w:pStyle w:val="Compact"/>
              <w:jc w:val="left"/>
            </w:pPr>
            <w:r>
              <w:t xml:space="preserve">Does the thing,</w:t>
            </w:r>
            <w:r>
              <w:t xml:space="preserve"> </w:t>
            </w:r>
            <w:r>
              <w:rPr>
                <w:bCs/>
                <w:b/>
              </w:rPr>
              <w:t xml:space="preserve">and</w:t>
            </w:r>
            <w:r>
              <w:t xml:space="preserve"> </w:t>
            </w:r>
            <w:r>
              <w:t xml:space="preserve">can say why it was the right choice and what it cost. Judgement is visible</w:t>
            </w:r>
          </w:p>
        </w:tc>
      </w:tr>
      <w:tr>
        <w:tc>
          <w:tcPr/>
          <w:p>
            <w:pPr>
              <w:pStyle w:val="Compact"/>
              <w:jc w:val="left"/>
            </w:pPr>
            <w:r>
              <w:rPr>
                <w:bCs/>
                <w:b/>
              </w:rPr>
              <w:t xml:space="preserve">Proficient</w:t>
            </w:r>
          </w:p>
        </w:tc>
        <w:tc>
          <w:tcPr/>
          <w:p>
            <w:pPr>
              <w:pStyle w:val="Compact"/>
              <w:jc w:val="left"/>
            </w:pPr>
            <w:r>
              <w:t xml:space="preserve">70–84%</w:t>
            </w:r>
          </w:p>
        </w:tc>
        <w:tc>
          <w:tcPr/>
          <w:p>
            <w:pPr>
              <w:pStyle w:val="Compact"/>
              <w:jc w:val="left"/>
            </w:pPr>
            <w:r>
              <w:t xml:space="preserve">Does the thing correctly and completely.</w:t>
            </w:r>
            <w:r>
              <w:t xml:space="preserve"> </w:t>
            </w:r>
            <w:r>
              <w:rPr>
                <w:bCs/>
                <w:b/>
              </w:rPr>
              <w:t xml:space="preserve">This is the target</w:t>
            </w:r>
            <w:r>
              <w:t xml:space="preserve"> </w:t>
            </w:r>
            <w:r>
              <w:t xml:space="preserve">— the program is designed for a competent practitioner to land here</w:t>
            </w:r>
          </w:p>
        </w:tc>
      </w:tr>
      <w:tr>
        <w:tc>
          <w:tcPr/>
          <w:p>
            <w:pPr>
              <w:pStyle w:val="Compact"/>
              <w:jc w:val="left"/>
            </w:pPr>
            <w:r>
              <w:rPr>
                <w:bCs/>
                <w:b/>
              </w:rPr>
              <w:t xml:space="preserve">Developing</w:t>
            </w:r>
          </w:p>
        </w:tc>
        <w:tc>
          <w:tcPr/>
          <w:p>
            <w:pPr>
              <w:pStyle w:val="Compact"/>
              <w:jc w:val="left"/>
            </w:pPr>
            <w:r>
              <w:t xml:space="preserve">50–69%</w:t>
            </w:r>
          </w:p>
        </w:tc>
        <w:tc>
          <w:tcPr/>
          <w:p>
            <w:pPr>
              <w:pStyle w:val="Compact"/>
              <w:jc w:val="left"/>
            </w:pPr>
            <w:r>
              <w:t xml:space="preserve">Does part of it, or does it without understanding. The artifact exists; the reasoning does not</w:t>
            </w:r>
          </w:p>
        </w:tc>
      </w:tr>
      <w:tr>
        <w:tc>
          <w:tcPr/>
          <w:p>
            <w:pPr>
              <w:pStyle w:val="Compact"/>
              <w:jc w:val="left"/>
            </w:pPr>
            <w:r>
              <w:rPr>
                <w:bCs/>
                <w:b/>
              </w:rPr>
              <w:t xml:space="preserve">Not yet</w:t>
            </w:r>
          </w:p>
        </w:tc>
        <w:tc>
          <w:tcPr/>
          <w:p>
            <w:pPr>
              <w:pStyle w:val="Compact"/>
              <w:jc w:val="left"/>
            </w:pPr>
            <w:r>
              <w:t xml:space="preserve">0–49%</w:t>
            </w:r>
          </w:p>
        </w:tc>
        <w:tc>
          <w:tcPr/>
          <w:p>
            <w:pPr>
              <w:pStyle w:val="Compact"/>
              <w:jc w:val="left"/>
            </w:pPr>
            <w:r>
              <w:t xml:space="preserve">The artifact is absent, or present and wrong</w:t>
            </w:r>
          </w:p>
        </w:tc>
      </w:tr>
    </w:tbl>
    <w:p>
      <w:pPr>
        <w:pStyle w:val="BodyText"/>
      </w:pPr>
      <w:r>
        <w:rPr>
          <w:bCs/>
          <w:b/>
        </w:rPr>
        <w:t xml:space="preserve">Proficient is the target, not Distinguished.</w:t>
      </w:r>
      <w:r>
        <w:t xml:space="preserve"> </w:t>
      </w:r>
      <w:r>
        <w:t xml:space="preserve">A cohort in which most learners</w:t>
      </w:r>
      <w:r>
        <w:t xml:space="preserve"> </w:t>
      </w:r>
      <w:r>
        <w:t xml:space="preserve">score Distinguished is a cohort being marked generously, and the certificate</w:t>
      </w:r>
      <w:r>
        <w:t xml:space="preserve"> </w:t>
      </w:r>
      <w:r>
        <w:t xml:space="preserve">loses its meaning. Distinguished asks for something specific —</w:t>
      </w:r>
      <w:r>
        <w:t xml:space="preserve"> </w:t>
      </w:r>
      <w:r>
        <w:rPr>
          <w:iCs/>
          <w:i/>
        </w:rPr>
        <w:t xml:space="preserve">the argument</w:t>
      </w:r>
      <w:r>
        <w:t xml:space="preserve">,</w:t>
      </w:r>
      <w:r>
        <w:t xml:space="preserve"> </w:t>
      </w:r>
      <w:r>
        <w:t xml:space="preserve">not more work.</w:t>
      </w:r>
    </w:p>
    <w:bookmarkEnd w:id="35"/>
    <w:bookmarkStart w:id="36" w:name="passing"/>
    <w:p>
      <w:pPr>
        <w:pStyle w:val="Heading2"/>
      </w:pPr>
      <w:r>
        <w:t xml:space="preserve">Passing</w:t>
      </w:r>
    </w:p>
    <w:p>
      <w:pPr>
        <w:pStyle w:val="FirstParagraph"/>
      </w:pPr>
      <w:r>
        <w:t xml:space="preserve">Three conditions, all required:</w:t>
      </w:r>
    </w:p>
    <w:p>
      <w:pPr>
        <w:numPr>
          <w:ilvl w:val="0"/>
          <w:numId w:val="1005"/>
        </w:numPr>
        <w:pStyle w:val="Compact"/>
      </w:pPr>
      <w:r>
        <w:rPr>
          <w:bCs/>
          <w:b/>
        </w:rPr>
        <w:t xml:space="preserve">≥ 70% overall</w:t>
      </w:r>
      <w:r>
        <w:t xml:space="preserve">, weighted.</w:t>
      </w:r>
    </w:p>
    <w:p>
      <w:pPr>
        <w:numPr>
          <w:ilvl w:val="0"/>
          <w:numId w:val="1005"/>
        </w:numPr>
        <w:pStyle w:val="Compact"/>
      </w:pPr>
      <w:r>
        <w:rPr>
          <w:bCs/>
          <w:b/>
        </w:rPr>
        <w:t xml:space="preserve">No category below</w:t>
      </w:r>
      <w:r>
        <w:rPr>
          <w:bCs/>
          <w:b/>
        </w:rPr>
        <w:t xml:space="preserve"> </w:t>
      </w:r>
      <w:r>
        <w:rPr>
          <w:iCs/>
          <w:i/>
          <w:bCs/>
          <w:b/>
        </w:rPr>
        <w:t xml:space="preserve">Developing</w:t>
      </w:r>
      <w:r>
        <w:rPr>
          <w:bCs/>
          <w:b/>
        </w:rPr>
        <w:t xml:space="preserve">.</w:t>
      </w:r>
      <w:r>
        <w:t xml:space="preserve"> </w:t>
      </w:r>
      <w:r>
        <w:t xml:space="preserve">A learner cannot pass by being excellent</w:t>
      </w:r>
      <w:r>
        <w:t xml:space="preserve"> </w:t>
      </w:r>
      <w:r>
        <w:t xml:space="preserve">at five things and absent at two — the program’s claim is breadth.</w:t>
      </w:r>
    </w:p>
    <w:p>
      <w:pPr>
        <w:numPr>
          <w:ilvl w:val="0"/>
          <w:numId w:val="1005"/>
        </w:numPr>
        <w:pStyle w:val="Compact"/>
      </w:pPr>
      <w:r>
        <w:rPr>
          <w:bCs/>
          <w:b/>
        </w:rPr>
        <w:t xml:space="preserve">Every Week 4 exit gate met</w:t>
      </w:r>
      <w:r>
        <w:t xml:space="preserve">, verified against evidence rather than</w:t>
      </w:r>
      <w:r>
        <w:t xml:space="preserve"> </w:t>
      </w:r>
      <w:r>
        <w:t xml:space="preserve">assertion.</w:t>
      </w:r>
    </w:p>
    <w:p>
      <w:pPr>
        <w:pStyle w:val="FirstParagraph"/>
      </w:pPr>
      <w:r>
        <w:t xml:space="preserve">A learner who meets 1 and 2 but fails a gate is</w:t>
      </w:r>
      <w:r>
        <w:t xml:space="preserve"> </w:t>
      </w:r>
      <w:r>
        <w:rPr>
          <w:bCs/>
          <w:b/>
        </w:rPr>
        <w:t xml:space="preserve">not yet complete</w:t>
      </w:r>
      <w:r>
        <w:t xml:space="preserve"> </w:t>
      </w:r>
      <w:r>
        <w:t xml:space="preserve">rather than</w:t>
      </w:r>
      <w:r>
        <w:t xml:space="preserve"> </w:t>
      </w:r>
      <w:r>
        <w:t xml:space="preserve">failed, and the gap is named. That distinction matters: the gates are about</w:t>
      </w:r>
      <w:r>
        <w:t xml:space="preserve"> </w:t>
      </w:r>
      <w:r>
        <w:t xml:space="preserve">artifacts, which can be finished; the rubric is about capability.</w:t>
      </w:r>
    </w:p>
    <w:p>
      <w:r>
        <w:pict>
          <v:rect style="width:0;height:1.5pt" o:hralign="center" o:hrstd="t" o:hr="t"/>
        </w:pict>
      </w:r>
    </w:p>
    <w:bookmarkEnd w:id="36"/>
    <w:bookmarkStart w:id="44" w:name="the-seven-categories"/>
    <w:p>
      <w:pPr>
        <w:pStyle w:val="Heading2"/>
      </w:pPr>
      <w:r>
        <w:t xml:space="preserve">The seven categories</w:t>
      </w:r>
    </w:p>
    <w:p>
      <w:pPr>
        <w:pStyle w:val="FirstParagraph"/>
      </w:pPr>
      <w:r>
        <w:rPr>
          <w:bCs/>
          <w:b/>
        </w:rPr>
        <w:t xml:space="preserve">Every descriptor below names something an assessor can look at.</w:t>
      </w:r>
      <w:r>
        <w:t xml:space="preserve"> </w:t>
      </w:r>
      <w:r>
        <w:t xml:space="preserve">Where you</w:t>
      </w:r>
      <w:r>
        <w:t xml:space="preserve"> </w:t>
      </w:r>
      <w:r>
        <w:t xml:space="preserve">find yourself reaching for an adjective —</w:t>
      </w:r>
      <w:r>
        <w:t xml:space="preserve"> </w:t>
      </w:r>
      <w:r>
        <w:rPr>
          <w:iCs/>
          <w:i/>
        </w:rPr>
        <w:t xml:space="preserve">“</w:t>
      </w:r>
      <w:r>
        <w:rPr>
          <w:iCs/>
          <w:i/>
        </w:rPr>
        <w:t xml:space="preserve">good understanding of…</w:t>
      </w:r>
      <w:r>
        <w:rPr>
          <w:iCs/>
          <w:i/>
        </w:rPr>
        <w:t xml:space="preserve">”</w:t>
      </w:r>
      <w:r>
        <w:t xml:space="preserve"> </w:t>
      </w:r>
      <w:r>
        <w:t xml:space="preserve">— the band</w:t>
      </w:r>
      <w:r>
        <w:t xml:space="preserve"> </w:t>
      </w:r>
      <w:r>
        <w:t xml:space="preserve">has not been defined and the mark is not defensible.</w:t>
      </w:r>
    </w:p>
    <w:bookmarkStart w:id="37" w:name="clean-code-architecture-15"/>
    <w:p>
      <w:pPr>
        <w:pStyle w:val="Heading3"/>
      </w:pPr>
      <w:r>
        <w:t xml:space="preserve">1 · Clean Code &amp; Architecture — 15%</w:t>
      </w:r>
    </w:p>
    <w:p>
      <w:pPr>
        <w:pStyle w:val="FirstParagraph"/>
      </w:pPr>
      <w:r>
        <w:rPr>
          <w:iCs/>
          <w:i/>
        </w:rPr>
        <w:t xml:space="preserve">Evidence:</w:t>
      </w:r>
      <w:r>
        <w:rPr>
          <w:iCs/>
          <w:i/>
        </w:rPr>
        <w:t xml:space="preserve"> </w:t>
      </w:r>
      <w:r>
        <w:rPr>
          <w:rStyle w:val="VerbatimChar"/>
          <w:iCs/>
          <w:i/>
        </w:rPr>
        <w:t xml:space="preserve">docs/refactor-log.md</w:t>
      </w:r>
      <w:r>
        <w:rPr>
          <w:iCs/>
          <w:i/>
        </w:rPr>
        <w:t xml:space="preserve">,</w:t>
      </w:r>
      <w:r>
        <w:rPr>
          <w:iCs/>
          <w:i/>
        </w:rPr>
        <w:t xml:space="preserve"> </w:t>
      </w:r>
      <w:r>
        <w:rPr>
          <w:rStyle w:val="VerbatimChar"/>
          <w:iCs/>
          <w:i/>
        </w:rPr>
        <w:t xml:space="preserve">docs/framework-architecture.md</w:t>
      </w:r>
      <w:r>
        <w:rPr>
          <w:iCs/>
          <w:i/>
        </w:rPr>
        <w:t xml:space="preserve">, the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Two or more refactors documented with the</w:t>
            </w:r>
            <w:r>
              <w:t xml:space="preserve"> </w:t>
            </w:r>
            <w:r>
              <w:rPr>
                <w:bCs/>
                <w:b/>
              </w:rPr>
              <w:t xml:space="preserve">principle named</w:t>
            </w:r>
            <w:r>
              <w:t xml:space="preserve">, the before and after shown, and</w:t>
            </w:r>
            <w:r>
              <w:t xml:space="preserve"> </w:t>
            </w:r>
            <w:r>
              <w:rPr>
                <w:bCs/>
                <w:b/>
              </w:rPr>
              <w:t xml:space="preserve">what the change cost</w:t>
            </w:r>
            <w:r>
              <w:t xml:space="preserve"> </w:t>
            </w:r>
            <w:r>
              <w:t xml:space="preserve">as well as what it bought. The framework’s layer boundaries hold under inspection — no selectors in tests, no URLs in</w:t>
            </w:r>
            <w:r>
              <w:t xml:space="preserve"> </w:t>
            </w:r>
            <w:r>
              <w:rPr>
                <w:rStyle w:val="VerbatimChar"/>
              </w:rPr>
              <w:t xml:space="preserve">base/</w:t>
            </w:r>
            <w:r>
              <w:t xml:space="preserve">.</w:t>
            </w:r>
            <w:r>
              <w:t xml:space="preserve"> </w:t>
            </w:r>
            <w:r>
              <w:rPr>
                <w:bCs/>
                <w:b/>
              </w:rPr>
              <w:t xml:space="preserve">A weakness in their own architecture is marked by them before you find it</w:t>
            </w:r>
          </w:p>
        </w:tc>
      </w:tr>
      <w:tr>
        <w:tc>
          <w:tcPr/>
          <w:p>
            <w:pPr>
              <w:pStyle w:val="Compact"/>
              <w:jc w:val="left"/>
            </w:pPr>
            <w:r>
              <w:rPr>
                <w:bCs/>
                <w:b/>
              </w:rPr>
              <w:t xml:space="preserve">Proficient</w:t>
            </w:r>
          </w:p>
        </w:tc>
        <w:tc>
          <w:tcPr/>
          <w:p>
            <w:pPr>
              <w:pStyle w:val="Compact"/>
              <w:jc w:val="left"/>
            </w:pPr>
            <w:r>
              <w:t xml:space="preserve">Two refactors documented with the principle named and the tests still green. Layers exist and are mostly respected; one or two leaks, acknowledged if pointed out</w:t>
            </w:r>
          </w:p>
        </w:tc>
      </w:tr>
      <w:tr>
        <w:tc>
          <w:tcPr/>
          <w:p>
            <w:pPr>
              <w:pStyle w:val="Compact"/>
              <w:jc w:val="left"/>
            </w:pPr>
            <w:r>
              <w:rPr>
                <w:bCs/>
                <w:b/>
              </w:rPr>
              <w:t xml:space="preserve">Developing</w:t>
            </w:r>
          </w:p>
        </w:tc>
        <w:tc>
          <w:tcPr/>
          <w:p>
            <w:pPr>
              <w:pStyle w:val="Compact"/>
              <w:jc w:val="left"/>
            </w:pPr>
            <w:r>
              <w:t xml:space="preserve">Refactors happened but the log describes</w:t>
            </w:r>
            <w:r>
              <w:t xml:space="preserve"> </w:t>
            </w:r>
            <w:r>
              <w:rPr>
                <w:iCs/>
                <w:i/>
              </w:rPr>
              <w:t xml:space="preserve">what changed</w:t>
            </w:r>
            <w:r>
              <w:t xml:space="preserve"> </w:t>
            </w:r>
            <w:r>
              <w:t xml:space="preserve">rather than</w:t>
            </w:r>
            <w:r>
              <w:t xml:space="preserve"> </w:t>
            </w:r>
            <w:r>
              <w:rPr>
                <w:iCs/>
                <w:i/>
              </w:rPr>
              <w:t xml:space="preserve">which principle and why</w:t>
            </w:r>
            <w:r>
              <w:t xml:space="preserve">. Layers exist as folders but responsibilities have leaked across them — assertions in page objects, configuration in code</w:t>
            </w:r>
          </w:p>
        </w:tc>
      </w:tr>
      <w:tr>
        <w:tc>
          <w:tcPr/>
          <w:p>
            <w:pPr>
              <w:pStyle w:val="Compact"/>
              <w:jc w:val="left"/>
            </w:pPr>
            <w:r>
              <w:rPr>
                <w:bCs/>
                <w:b/>
              </w:rPr>
              <w:t xml:space="preserve">Not yet</w:t>
            </w:r>
          </w:p>
        </w:tc>
        <w:tc>
          <w:tcPr/>
          <w:p>
            <w:pPr>
              <w:pStyle w:val="Compact"/>
              <w:jc w:val="left"/>
            </w:pPr>
            <w:r>
              <w:t xml:space="preserve">Fewer than two documented refactors, or a flat test directory with no layer separation, or a refactor that broke the suite and was not restored</w:t>
            </w:r>
          </w:p>
        </w:tc>
      </w:tr>
    </w:tbl>
    <w:bookmarkEnd w:id="37"/>
    <w:bookmarkStart w:id="38" w:name="functional-automation-15"/>
    <w:p>
      <w:pPr>
        <w:pStyle w:val="Heading3"/>
      </w:pPr>
      <w:r>
        <w:t xml:space="preserve">2 · Functional Automation — 15%</w:t>
      </w:r>
    </w:p>
    <w:p>
      <w:pPr>
        <w:pStyle w:val="FirstParagraph"/>
      </w:pPr>
      <w:r>
        <w:rPr>
          <w:iCs/>
          <w:i/>
        </w:rPr>
        <w:t xml:space="preserve">Evidence:</w:t>
      </w:r>
      <w:r>
        <w:rPr>
          <w:iCs/>
          <w:i/>
        </w:rPr>
        <w:t xml:space="preserve"> </w:t>
      </w:r>
      <w:r>
        <w:rPr>
          <w:rStyle w:val="VerbatimChar"/>
          <w:iCs/>
          <w:i/>
        </w:rPr>
        <w:t xml:space="preserve">docs/acceptance-criteria.md</w:t>
      </w:r>
      <w:r>
        <w:rPr>
          <w:iCs/>
          <w:i/>
        </w:rPr>
        <w:t xml:space="preserve">, the traceability table, the suites themselves.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Every functional criterion covered</w:t>
            </w:r>
            <w:r>
              <w:t xml:space="preserve"> </w:t>
            </w:r>
            <w:r>
              <w:rPr>
                <w:bCs/>
                <w:b/>
              </w:rPr>
              <w:t xml:space="preserve">at a defensible layer</w:t>
            </w:r>
            <w:r>
              <w:t xml:space="preserve">, and the learner can say why that layer and what the layer below would have missed. Cases show design rather than invention — partitions,</w:t>
            </w:r>
            <w:r>
              <w:t xml:space="preserve"> </w:t>
            </w:r>
            <w:r>
              <w:rPr>
                <w:bCs/>
                <w:b/>
              </w:rPr>
              <w:t xml:space="preserve">the case exactly at a boundary</w:t>
            </w:r>
            <w:r>
              <w:t xml:space="preserve">, at least one illegal state transition. Oracles are annotated where they came from</w:t>
            </w:r>
          </w:p>
        </w:tc>
      </w:tr>
      <w:tr>
        <w:tc>
          <w:tcPr/>
          <w:p>
            <w:pPr>
              <w:pStyle w:val="Compact"/>
              <w:jc w:val="left"/>
            </w:pPr>
            <w:r>
              <w:rPr>
                <w:bCs/>
                <w:b/>
              </w:rPr>
              <w:t xml:space="preserve">Proficient</w:t>
            </w:r>
          </w:p>
        </w:tc>
        <w:tc>
          <w:tcPr/>
          <w:p>
            <w:pPr>
              <w:pStyle w:val="Compact"/>
              <w:jc w:val="left"/>
            </w:pPr>
            <w:r>
              <w:t xml:space="preserve">100% of functional criteria covered, traceable to named tests, all green. Unit, integration and E2E all present in sensible proportion. Boundary and invalid-input cases present</w:t>
            </w:r>
          </w:p>
        </w:tc>
      </w:tr>
      <w:tr>
        <w:tc>
          <w:tcPr/>
          <w:p>
            <w:pPr>
              <w:pStyle w:val="Compact"/>
              <w:jc w:val="left"/>
            </w:pPr>
            <w:r>
              <w:rPr>
                <w:bCs/>
                <w:b/>
              </w:rPr>
              <w:t xml:space="preserve">Developing</w:t>
            </w:r>
          </w:p>
        </w:tc>
        <w:tc>
          <w:tcPr/>
          <w:p>
            <w:pPr>
              <w:pStyle w:val="Compact"/>
              <w:jc w:val="left"/>
            </w:pPr>
            <w:r>
              <w:t xml:space="preserve">Coverage of criteria is partial, or everything is tested at one layer — usually all E2E, occasionally all unit with mocks standing in for the system. Cases are happy-path with a boundary or two by accident</w:t>
            </w:r>
          </w:p>
        </w:tc>
      </w:tr>
      <w:tr>
        <w:tc>
          <w:tcPr/>
          <w:p>
            <w:pPr>
              <w:pStyle w:val="Compact"/>
              <w:jc w:val="left"/>
            </w:pPr>
            <w:r>
              <w:rPr>
                <w:bCs/>
                <w:b/>
              </w:rPr>
              <w:t xml:space="preserve">Not yet</w:t>
            </w:r>
          </w:p>
        </w:tc>
        <w:tc>
          <w:tcPr/>
          <w:p>
            <w:pPr>
              <w:pStyle w:val="Compact"/>
              <w:jc w:val="left"/>
            </w:pPr>
            <w:r>
              <w:t xml:space="preserve">Criteria and tests cannot be connected, or a whole layer is absent, or the suite is not green</w:t>
            </w:r>
          </w:p>
        </w:tc>
      </w:tr>
    </w:tbl>
    <w:bookmarkEnd w:id="38"/>
    <w:bookmarkStart w:id="39" w:name="non-functional-automation-15"/>
    <w:p>
      <w:pPr>
        <w:pStyle w:val="Heading3"/>
      </w:pPr>
      <w:r>
        <w:t xml:space="preserve">3 · Non-Functional Automation — 15%</w:t>
      </w:r>
    </w:p>
    <w:p>
      <w:pPr>
        <w:pStyle w:val="FirstParagraph"/>
      </w:pPr>
      <w:r>
        <w:rPr>
          <w:iCs/>
          <w:i/>
        </w:rPr>
        <w:t xml:space="preserve">Evidence:</w:t>
      </w:r>
      <w:r>
        <w:rPr>
          <w:iCs/>
          <w:i/>
        </w:rPr>
        <w:t xml:space="preserve"> </w:t>
      </w:r>
      <w:r>
        <w:rPr>
          <w:rStyle w:val="VerbatimChar"/>
          <w:iCs/>
          <w:i/>
        </w:rPr>
        <w:t xml:space="preserve">docs/NFT-Strategy.md</w:t>
      </w:r>
      <w:r>
        <w:rPr>
          <w:iCs/>
          <w:i/>
        </w:rPr>
        <w:t xml:space="preserve">, the load, security and accessibility stage outputs, the tuning experiment.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All three attributes gated and green,</w:t>
            </w:r>
            <w:r>
              <w:t xml:space="preserve"> </w:t>
            </w:r>
            <w:r>
              <w:rPr>
                <w:bCs/>
                <w:b/>
              </w:rPr>
              <w:t xml:space="preserve">plus a tuning experiment with a measured before and after and an explanation of the mechanism</w:t>
            </w:r>
            <w:r>
              <w:t xml:space="preserve"> </w:t>
            </w:r>
            <w:r>
              <w:t xml:space="preserve">— not</w:t>
            </w:r>
            <w:r>
              <w:t xml:space="preserve"> </w:t>
            </w:r>
            <w:r>
              <w:t xml:space="preserve">“</w:t>
            </w:r>
            <w:r>
              <w:t xml:space="preserve">we added an index and it got faster</w:t>
            </w:r>
            <w:r>
              <w:t xml:space="preserve">”</w:t>
            </w:r>
            <w:r>
              <w:t xml:space="preserve"> </w:t>
            </w:r>
            <w:r>
              <w:t xml:space="preserve">but why that index and what it cost. The workload model is justified against something real, not a round number</w:t>
            </w:r>
          </w:p>
        </w:tc>
      </w:tr>
      <w:tr>
        <w:tc>
          <w:tcPr/>
          <w:p>
            <w:pPr>
              <w:pStyle w:val="Compact"/>
              <w:jc w:val="left"/>
            </w:pPr>
            <w:r>
              <w:rPr>
                <w:bCs/>
                <w:b/>
              </w:rPr>
              <w:t xml:space="preserve">Proficient</w:t>
            </w:r>
          </w:p>
        </w:tc>
        <w:tc>
          <w:tcPr/>
          <w:p>
            <w:pPr>
              <w:pStyle w:val="Compact"/>
              <w:jc w:val="left"/>
            </w:pPr>
            <w:r>
              <w:t xml:space="preserve">p95 ≤ 500 ms, error rate &lt; 1%, zero critical</w:t>
            </w:r>
            <w:r>
              <w:t xml:space="preserve"> </w:t>
            </w:r>
            <w:r>
              <w:rPr>
                <w:bCs/>
                <w:b/>
              </w:rPr>
              <w:t xml:space="preserve">and zero high</w:t>
            </w:r>
            <w:r>
              <w:t xml:space="preserve"> </w:t>
            </w:r>
            <w:r>
              <w:t xml:space="preserve">CVEs, accessibility ≥ 95 with no critical or serious violations. Thresholds live in</w:t>
            </w:r>
            <w:r>
              <w:t xml:space="preserve"> </w:t>
            </w:r>
            <w:r>
              <w:rPr>
                <w:rStyle w:val="VerbatimChar"/>
              </w:rPr>
              <w:t xml:space="preserve">thresholds.yml</w:t>
            </w:r>
            <w:r>
              <w:t xml:space="preserve">. A tuning experiment exists with before and after numbers</w:t>
            </w:r>
          </w:p>
        </w:tc>
      </w:tr>
      <w:tr>
        <w:tc>
          <w:tcPr/>
          <w:p>
            <w:pPr>
              <w:pStyle w:val="Compact"/>
              <w:jc w:val="left"/>
            </w:pPr>
            <w:r>
              <w:rPr>
                <w:bCs/>
                <w:b/>
              </w:rPr>
              <w:t xml:space="preserve">Developing</w:t>
            </w:r>
          </w:p>
        </w:tc>
        <w:tc>
          <w:tcPr/>
          <w:p>
            <w:pPr>
              <w:pStyle w:val="Compact"/>
              <w:jc w:val="left"/>
            </w:pPr>
            <w:r>
              <w:t xml:space="preserve">Stages run and report but one or more does not gate — it prints a number and passes regardless. Or thresholds are hard-coded in the workflow rather than configured. Tuning experiment is a configuration change with no measurement</w:t>
            </w:r>
          </w:p>
        </w:tc>
      </w:tr>
      <w:tr>
        <w:tc>
          <w:tcPr/>
          <w:p>
            <w:pPr>
              <w:pStyle w:val="Compact"/>
              <w:jc w:val="left"/>
            </w:pPr>
            <w:r>
              <w:rPr>
                <w:bCs/>
                <w:b/>
              </w:rPr>
              <w:t xml:space="preserve">Not yet</w:t>
            </w:r>
          </w:p>
        </w:tc>
        <w:tc>
          <w:tcPr/>
          <w:p>
            <w:pPr>
              <w:pStyle w:val="Compact"/>
              <w:jc w:val="left"/>
            </w:pPr>
            <w:r>
              <w:t xml:space="preserve">A non-functional stage is absent or permanently disabled, or a gate is failing and was waived without a recorded decision</w:t>
            </w:r>
          </w:p>
        </w:tc>
      </w:tr>
    </w:tbl>
    <w:bookmarkEnd w:id="39"/>
    <w:bookmarkStart w:id="40" w:name="static-analysis-coverage-15"/>
    <w:p>
      <w:pPr>
        <w:pStyle w:val="Heading3"/>
      </w:pPr>
      <w:r>
        <w:t xml:space="preserve">4 · Static Analysis &amp; Coverage — 15%</w:t>
      </w:r>
    </w:p>
    <w:p>
      <w:pPr>
        <w:pStyle w:val="FirstParagraph"/>
      </w:pPr>
      <w:r>
        <w:rPr>
          <w:iCs/>
          <w:i/>
        </w:rPr>
        <w:t xml:space="preserve">Evidence: the Analyze stage, the coverage report, the SonarQube project, the failing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Gates met,</w:t>
            </w:r>
            <w:r>
              <w:t xml:space="preserve"> </w:t>
            </w:r>
            <w:r>
              <w:rPr>
                <w:bCs/>
                <w:b/>
              </w:rPr>
              <w:t xml:space="preserve">and the learner can say what coverage does not prove</w:t>
            </w:r>
            <w:r>
              <w:t xml:space="preserve"> </w:t>
            </w:r>
            <w:r>
              <w:t xml:space="preserve">— ideally with their own mutation score beside it, or a named area of the 16% that is uncovered and an argument for whether it matters. Debt is being managed rather than accumulated</w:t>
            </w:r>
          </w:p>
        </w:tc>
      </w:tr>
      <w:tr>
        <w:tc>
          <w:tcPr/>
          <w:p>
            <w:pPr>
              <w:pStyle w:val="Compact"/>
              <w:jc w:val="left"/>
            </w:pPr>
            <w:r>
              <w:rPr>
                <w:bCs/>
                <w:b/>
              </w:rPr>
              <w:t xml:space="preserve">Proficient</w:t>
            </w:r>
          </w:p>
        </w:tc>
        <w:tc>
          <w:tcPr/>
          <w:p>
            <w:pPr>
              <w:pStyle w:val="Compact"/>
              <w:jc w:val="left"/>
            </w:pPr>
            <w:r>
              <w:t xml:space="preserve">≥ 80% line, ≥ 60% branch, Maintainability Rating A, enforced by the pipeline rather than checked by hand.</w:t>
            </w:r>
            <w:r>
              <w:t xml:space="preserve"> </w:t>
            </w:r>
            <w:r>
              <w:rPr>
                <w:bCs/>
                <w:b/>
              </w:rPr>
              <w:t xml:space="preserve">A failing run exists that proves the gate bites</w:t>
            </w:r>
          </w:p>
        </w:tc>
      </w:tr>
      <w:tr>
        <w:tc>
          <w:tcPr/>
          <w:p>
            <w:pPr>
              <w:pStyle w:val="Compact"/>
              <w:jc w:val="left"/>
            </w:pPr>
            <w:r>
              <w:rPr>
                <w:bCs/>
                <w:b/>
              </w:rPr>
              <w:t xml:space="preserve">Developing</w:t>
            </w:r>
          </w:p>
        </w:tc>
        <w:tc>
          <w:tcPr/>
          <w:p>
            <w:pPr>
              <w:pStyle w:val="Compact"/>
              <w:jc w:val="left"/>
            </w:pPr>
            <w:r>
              <w:t xml:space="preserve">The numbers are met but the gate is advisory — nothing fails when they are not. Or the coverage was reached late by adding assertion-free tests, which the mutation score or a glance at the suite makes visible</w:t>
            </w:r>
          </w:p>
        </w:tc>
      </w:tr>
      <w:tr>
        <w:tc>
          <w:tcPr/>
          <w:p>
            <w:pPr>
              <w:pStyle w:val="Compact"/>
              <w:jc w:val="left"/>
            </w:pPr>
            <w:r>
              <w:rPr>
                <w:bCs/>
                <w:b/>
              </w:rPr>
              <w:t xml:space="preserve">Not yet</w:t>
            </w:r>
          </w:p>
        </w:tc>
        <w:tc>
          <w:tcPr/>
          <w:p>
            <w:pPr>
              <w:pStyle w:val="Compact"/>
              <w:jc w:val="left"/>
            </w:pPr>
            <w:r>
              <w:t xml:space="preserve">Below threshold, or static analysis is not connected, or coverage is reported from a stale artifact</w:t>
            </w:r>
          </w:p>
        </w:tc>
      </w:tr>
    </w:tbl>
    <w:bookmarkEnd w:id="40"/>
    <w:bookmarkStart w:id="41" w:name="cicd-implementation-15"/>
    <w:p>
      <w:pPr>
        <w:pStyle w:val="Heading3"/>
      </w:pPr>
      <w:r>
        <w:t xml:space="preserve">5 · CI/CD Implementation — 15%</w:t>
      </w:r>
    </w:p>
    <w:p>
      <w:pPr>
        <w:pStyle w:val="FirstParagraph"/>
      </w:pPr>
      <w:r>
        <w:rPr>
          <w:iCs/>
          <w:i/>
        </w:rPr>
        <w:t xml:space="preserve">Evidence:</w:t>
      </w:r>
      <w:r>
        <w:rPr>
          <w:iCs/>
          <w:i/>
        </w:rPr>
        <w:t xml:space="preserve"> </w:t>
      </w:r>
      <w:r>
        <w:rPr>
          <w:rStyle w:val="VerbatimChar"/>
          <w:iCs/>
          <w:i/>
        </w:rPr>
        <w:t xml:space="preserve">.github/workflows/ci.yml</w:t>
      </w:r>
      <w:r>
        <w:rPr>
          <w:iCs/>
          <w:i/>
        </w:rPr>
        <w:t xml:space="preserve"> </w:t>
      </w:r>
      <w:r>
        <w:rPr>
          <w:iCs/>
          <w:i/>
        </w:rPr>
        <w:t xml:space="preserve">(or equivalent),</w:t>
      </w:r>
      <w:r>
        <w:rPr>
          <w:iCs/>
          <w:i/>
        </w:rPr>
        <w:t xml:space="preserve"> </w:t>
      </w:r>
      <w:r>
        <w:rPr>
          <w:rStyle w:val="VerbatimChar"/>
          <w:iCs/>
          <w:i/>
        </w:rPr>
        <w:t xml:space="preserve">docs/pipeline.md</w:t>
      </w:r>
      <w:r>
        <w:rPr>
          <w:iCs/>
          <w:i/>
        </w:rPr>
        <w:t xml:space="preserve">, the green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Eight stages green</w:t>
            </w:r>
            <w:r>
              <w:t xml:space="preserve"> </w:t>
            </w:r>
            <w:r>
              <w:rPr>
                <w:bCs/>
                <w:b/>
              </w:rPr>
              <w:t xml:space="preserve">from a single commit</w:t>
            </w:r>
            <w:r>
              <w:t xml:space="preserve">, and the learner can explain a failure mode of their own pipeline — what happens if Smoke fails after Deploy succeeds, what is not idempotent, which stage they would not trust. Thresholds are configuration, secrets are secrets, and the pipeline is readable by someone else</w:t>
            </w:r>
          </w:p>
        </w:tc>
      </w:tr>
      <w:tr>
        <w:tc>
          <w:tcPr/>
          <w:p>
            <w:pPr>
              <w:pStyle w:val="Compact"/>
              <w:jc w:val="left"/>
            </w:pPr>
            <w:r>
              <w:rPr>
                <w:bCs/>
                <w:b/>
              </w:rPr>
              <w:t xml:space="preserve">Proficient</w:t>
            </w:r>
          </w:p>
        </w:tc>
        <w:tc>
          <w:tcPr/>
          <w:p>
            <w:pPr>
              <w:pStyle w:val="Compact"/>
              <w:jc w:val="left"/>
            </w:pPr>
            <w:r>
              <w:t xml:space="preserve">Eight stages, green from one commit, deploy pipeline-triggered rather than manual, artifacts published. Numbers read from</w:t>
            </w:r>
            <w:r>
              <w:t xml:space="preserve"> </w:t>
            </w:r>
            <w:r>
              <w:rPr>
                <w:rStyle w:val="VerbatimChar"/>
              </w:rPr>
              <w:t xml:space="preserve">thresholds.yml</w:t>
            </w:r>
            <w:r>
              <w:t xml:space="preserve">.</w:t>
            </w:r>
            <w:r>
              <w:t xml:space="preserve"> </w:t>
            </w:r>
            <w:r>
              <w:rPr>
                <w:rStyle w:val="VerbatimChar"/>
              </w:rPr>
              <w:t xml:space="preserve">docs/pipeline.md</w:t>
            </w:r>
            <w:r>
              <w:t xml:space="preserve"> </w:t>
            </w:r>
            <w:r>
              <w:t xml:space="preserve">describes what actually ships</w:t>
            </w:r>
          </w:p>
        </w:tc>
      </w:tr>
      <w:tr>
        <w:tc>
          <w:tcPr/>
          <w:p>
            <w:pPr>
              <w:pStyle w:val="Compact"/>
              <w:jc w:val="left"/>
            </w:pPr>
            <w:r>
              <w:rPr>
                <w:bCs/>
                <w:b/>
              </w:rPr>
              <w:t xml:space="preserve">Developing</w:t>
            </w:r>
          </w:p>
        </w:tc>
        <w:tc>
          <w:tcPr/>
          <w:p>
            <w:pPr>
              <w:pStyle w:val="Compact"/>
              <w:jc w:val="left"/>
            </w:pPr>
            <w:r>
              <w:t xml:space="preserve">The pipeline runs but stages are skipped, disabled or manually triggered; or it is green only on a re-run; or the documented pipeline and the running pipeline disagree</w:t>
            </w:r>
          </w:p>
        </w:tc>
      </w:tr>
      <w:tr>
        <w:tc>
          <w:tcPr/>
          <w:p>
            <w:pPr>
              <w:pStyle w:val="Compact"/>
              <w:jc w:val="left"/>
            </w:pPr>
            <w:r>
              <w:rPr>
                <w:bCs/>
                <w:b/>
              </w:rPr>
              <w:t xml:space="preserve">Not yet</w:t>
            </w:r>
          </w:p>
        </w:tc>
        <w:tc>
          <w:tcPr/>
          <w:p>
            <w:pPr>
              <w:pStyle w:val="Compact"/>
              <w:jc w:val="left"/>
            </w:pPr>
            <w:r>
              <w:t xml:space="preserve">Fewer than eight stages, or never green from a single commit, or credentials committed to the repository</w:t>
            </w:r>
          </w:p>
        </w:tc>
      </w:tr>
    </w:tbl>
    <w:bookmarkEnd w:id="41"/>
    <w:bookmarkStart w:id="42" w:name="capstone-defence-15"/>
    <w:p>
      <w:pPr>
        <w:pStyle w:val="Heading3"/>
      </w:pPr>
      <w:r>
        <w:t xml:space="preserve">6 · Capstone Defence — 15%</w:t>
      </w:r>
    </w:p>
    <w:p>
      <w:pPr>
        <w:pStyle w:val="FirstParagraph"/>
      </w:pPr>
      <w:r>
        <w:rPr>
          <w:iCs/>
          <w:i/>
        </w:rPr>
        <w:t xml:space="preserve">Evidence: the fifteen minutes, and the questions afterwards.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Opens with the baseline. Names</w:t>
            </w:r>
            <w:r>
              <w:t xml:space="preserve"> </w:t>
            </w:r>
            <w:r>
              <w:rPr>
                <w:bCs/>
                <w:b/>
              </w:rPr>
              <w:t xml:space="preserve">which week and which layer found each defect</w:t>
            </w:r>
            <w:r>
              <w:t xml:space="preserve">, including at least one that only that layer could have found. Shows trend and</w:t>
            </w:r>
            <w:r>
              <w:t xml:space="preserve"> </w:t>
            </w:r>
            <w:r>
              <w:rPr>
                <w:bCs/>
                <w:b/>
              </w:rPr>
              <w:t xml:space="preserve">explains a regression without being asked</w:t>
            </w:r>
            <w:r>
              <w:t xml:space="preserve">. Volunteers remaining risk with an impact and a trigger. Under questioning, says</w:t>
            </w:r>
            <w:r>
              <w:t xml:space="preserve"> </w:t>
            </w:r>
            <w:r>
              <w:rPr>
                <w:iCs/>
                <w:i/>
              </w:rPr>
              <w:t xml:space="preserve">“</w:t>
            </w:r>
            <w:r>
              <w:rPr>
                <w:iCs/>
                <w:i/>
              </w:rPr>
              <w:t xml:space="preserve">I don’t know — here is how I would find out</w:t>
            </w:r>
            <w:r>
              <w:rPr>
                <w:iCs/>
                <w:i/>
              </w:rPr>
              <w:t xml:space="preserve">”</w:t>
            </w:r>
            <w:r>
              <w:t xml:space="preserve"> </w:t>
            </w:r>
            <w:r>
              <w:t xml:space="preserve">at least once, and means it</w:t>
            </w:r>
          </w:p>
        </w:tc>
      </w:tr>
      <w:tr>
        <w:tc>
          <w:tcPr/>
          <w:p>
            <w:pPr>
              <w:pStyle w:val="Compact"/>
              <w:jc w:val="left"/>
            </w:pPr>
            <w:r>
              <w:rPr>
                <w:bCs/>
                <w:b/>
              </w:rPr>
              <w:t xml:space="preserve">Proficient</w:t>
            </w:r>
          </w:p>
        </w:tc>
        <w:tc>
          <w:tcPr/>
          <w:p>
            <w:pPr>
              <w:pStyle w:val="Compact"/>
              <w:jc w:val="left"/>
            </w:pPr>
            <w:r>
              <w:t xml:space="preserve">Baseline first, four-week trend shown, defects presented with provenance, remaining risk stated. Answers questions accurately. Keeps to fifteen minutes</w:t>
            </w:r>
          </w:p>
        </w:tc>
      </w:tr>
      <w:tr>
        <w:tc>
          <w:tcPr/>
          <w:p>
            <w:pPr>
              <w:pStyle w:val="Compact"/>
              <w:jc w:val="left"/>
            </w:pPr>
            <w:r>
              <w:rPr>
                <w:bCs/>
                <w:b/>
              </w:rPr>
              <w:t xml:space="preserve">Developing</w:t>
            </w:r>
          </w:p>
        </w:tc>
        <w:tc>
          <w:tcPr/>
          <w:p>
            <w:pPr>
              <w:pStyle w:val="Compact"/>
              <w:jc w:val="left"/>
            </w:pPr>
            <w:r>
              <w:t xml:space="preserve">Presents final numbers without the starting point, so nothing has a size. Defects listed without saying what found them. Claims no remaining risk, or lists everything collected and lets the audience find the argument. Overruns</w:t>
            </w:r>
          </w:p>
        </w:tc>
      </w:tr>
      <w:tr>
        <w:tc>
          <w:tcPr/>
          <w:p>
            <w:pPr>
              <w:pStyle w:val="Compact"/>
              <w:jc w:val="left"/>
            </w:pPr>
            <w:r>
              <w:rPr>
                <w:bCs/>
                <w:b/>
              </w:rPr>
              <w:t xml:space="preserve">Not yet</w:t>
            </w:r>
          </w:p>
        </w:tc>
        <w:tc>
          <w:tcPr/>
          <w:p>
            <w:pPr>
              <w:pStyle w:val="Compact"/>
              <w:jc w:val="left"/>
            </w:pPr>
            <w:r>
              <w:t xml:space="preserve">No trend, no evidence beyond assertion, or bluffs an answer that is then shown to be wrong</w:t>
            </w:r>
          </w:p>
        </w:tc>
      </w:tr>
    </w:tbl>
    <w:p>
      <w:pPr>
        <w:pStyle w:val="BlockText"/>
      </w:pPr>
      <w:r>
        <w:rPr>
          <w:bCs/>
          <w:b/>
        </w:rPr>
        <w:t xml:space="preserve">A learner who volunteers a weakness before you find it scores above one who</w:t>
      </w:r>
      <w:r>
        <w:rPr>
          <w:bCs/>
          <w:b/>
        </w:rPr>
        <w:t xml:space="preserve"> </w:t>
      </w:r>
      <w:r>
        <w:rPr>
          <w:bCs/>
          <w:b/>
        </w:rPr>
        <w:t xml:space="preserve">conceals it successfully.</w:t>
      </w:r>
      <w:r>
        <w:t xml:space="preserve"> </w:t>
      </w:r>
      <w:r>
        <w:t xml:space="preserve">Say this to the room before defences begin. It</w:t>
      </w:r>
      <w:r>
        <w:t xml:space="preserve"> </w:t>
      </w:r>
      <w:r>
        <w:t xml:space="preserve">changes the quality of what you hear, and it is the behaviour the profession</w:t>
      </w:r>
      <w:r>
        <w:t xml:space="preserve"> </w:t>
      </w:r>
      <w:r>
        <w:t xml:space="preserve">actually needs.</w:t>
      </w:r>
    </w:p>
    <w:bookmarkEnd w:id="42"/>
    <w:bookmarkStart w:id="43" w:name="transferable-judgement-10"/>
    <w:p>
      <w:pPr>
        <w:pStyle w:val="Heading3"/>
      </w:pPr>
      <w:r>
        <w:t xml:space="preserve">7 · Transferable judgement — 10%</w:t>
      </w:r>
    </w:p>
    <w:p>
      <w:pPr>
        <w:pStyle w:val="FirstParagraph"/>
      </w:pPr>
      <w:r>
        <w:rPr>
          <w:iCs/>
          <w:i/>
        </w:rPr>
        <w:t xml:space="preserve">Evidence: the two standing questions, asked of every learner.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left"/>
            </w:pPr>
            <w:r>
              <w:t xml:space="preserve">What you see</w:t>
            </w:r>
          </w:p>
        </w:tc>
      </w:tr>
      <w:tr>
        <w:tc>
          <w:tcPr/>
          <w:p>
            <w:pPr>
              <w:pStyle w:val="Compact"/>
              <w:jc w:val="left"/>
            </w:pPr>
            <w:r>
              <w:rPr>
                <w:bCs/>
                <w:b/>
              </w:rPr>
              <w:t xml:space="preserve">Distinguished</w:t>
            </w:r>
          </w:p>
        </w:tc>
        <w:tc>
          <w:tcPr/>
          <w:p>
            <w:pPr>
              <w:pStyle w:val="Compact"/>
              <w:jc w:val="left"/>
            </w:pPr>
            <w:r>
              <w:t xml:space="preserve">Names their own deviation from §C.1’s order,</w:t>
            </w:r>
            <w:r>
              <w:t xml:space="preserve"> </w:t>
            </w:r>
            <w:r>
              <w:rPr>
                <w:bCs/>
                <w:b/>
              </w:rPr>
              <w:t xml:space="preserve">the price they paid for it</w:t>
            </w:r>
            <w:r>
              <w:t xml:space="preserve">, and what they would do differently on a greenfield project. On the tool question: names a blind spot they</w:t>
            </w:r>
            <w:r>
              <w:t xml:space="preserve"> </w:t>
            </w:r>
            <w:r>
              <w:rPr>
                <w:iCs/>
                <w:i/>
              </w:rPr>
              <w:t xml:space="preserve">met</w:t>
            </w:r>
            <w:r>
              <w:t xml:space="preserve">, with the specific green run that did not prove what it appeared to</w:t>
            </w:r>
          </w:p>
        </w:tc>
      </w:tr>
      <w:tr>
        <w:tc>
          <w:tcPr/>
          <w:p>
            <w:pPr>
              <w:pStyle w:val="Compact"/>
              <w:jc w:val="left"/>
            </w:pPr>
            <w:r>
              <w:rPr>
                <w:bCs/>
                <w:b/>
              </w:rPr>
              <w:t xml:space="preserve">Proficient</w:t>
            </w:r>
          </w:p>
        </w:tc>
        <w:tc>
          <w:tcPr/>
          <w:p>
            <w:pPr>
              <w:pStyle w:val="Compact"/>
              <w:jc w:val="left"/>
            </w:pPr>
            <w:r>
              <w:t xml:space="preserve">Can place their project on §C.1’s eleven steps and name a deviation. Names one tool, one real blind spot, and one thing a green run does not prove</w:t>
            </w:r>
          </w:p>
        </w:tc>
      </w:tr>
      <w:tr>
        <w:tc>
          <w:tcPr/>
          <w:p>
            <w:pPr>
              <w:pStyle w:val="Compact"/>
              <w:jc w:val="left"/>
            </w:pPr>
            <w:r>
              <w:rPr>
                <w:bCs/>
                <w:b/>
              </w:rPr>
              <w:t xml:space="preserve">Developing</w:t>
            </w:r>
          </w:p>
        </w:tc>
        <w:tc>
          <w:tcPr/>
          <w:p>
            <w:pPr>
              <w:pStyle w:val="Compact"/>
              <w:jc w:val="left"/>
            </w:pPr>
            <w:r>
              <w:t xml:space="preserve">Describes the steps back rather than placing their own work on them. Names a blind spot from the reader rather than from their project. Says they followed the order exactly —</w:t>
            </w:r>
            <w:r>
              <w:t xml:space="preserve"> </w:t>
            </w:r>
            <w:r>
              <w:rPr>
                <w:bCs/>
                <w:b/>
              </w:rPr>
              <w:t xml:space="preserve">which means they have not read it</w:t>
            </w:r>
            <w:r>
              <w:t xml:space="preserve">, since the course sequence is not the greenfield sequence</w:t>
            </w:r>
          </w:p>
        </w:tc>
      </w:tr>
      <w:tr>
        <w:tc>
          <w:tcPr/>
          <w:p>
            <w:pPr>
              <w:pStyle w:val="Compact"/>
              <w:jc w:val="left"/>
            </w:pPr>
            <w:r>
              <w:rPr>
                <w:bCs/>
                <w:b/>
              </w:rPr>
              <w:t xml:space="preserve">Not yet</w:t>
            </w:r>
          </w:p>
        </w:tc>
        <w:tc>
          <w:tcPr/>
          <w:p>
            <w:pPr>
              <w:pStyle w:val="Compact"/>
              <w:jc w:val="left"/>
            </w:pPr>
            <w:r>
              <w:t xml:space="preserve">Cannot answer either question, or answers only in terms of the specific tools taught</w:t>
            </w:r>
          </w:p>
        </w:tc>
      </w:tr>
    </w:tbl>
    <w:p>
      <w:pPr>
        <w:pStyle w:val="BlockText"/>
      </w:pPr>
      <w:r>
        <w:rPr>
          <w:bCs/>
          <w:b/>
        </w:rPr>
        <w:t xml:space="preserve">Both questions are answerable by a learner who used entirely different tools</w:t>
      </w:r>
      <w:r>
        <w:rPr>
          <w:bCs/>
          <w:b/>
        </w:rPr>
        <w:t xml:space="preserve"> </w:t>
      </w:r>
      <w:r>
        <w:rPr>
          <w:bCs/>
          <w:b/>
        </w:rPr>
        <w:t xml:space="preserve">from the ones taught.</w:t>
      </w:r>
      <w:r>
        <w:t xml:space="preserve"> </w:t>
      </w:r>
      <w:r>
        <w:t xml:space="preserve">If a learner’s answer would collapse when the tool</w:t>
      </w:r>
      <w:r>
        <w:t xml:space="preserve"> </w:t>
      </w:r>
      <w:r>
        <w:t xml:space="preserve">changed, that is a</w:t>
      </w:r>
      <w:r>
        <w:t xml:space="preserve"> </w:t>
      </w:r>
      <w:r>
        <w:rPr>
          <w:iCs/>
          <w:i/>
        </w:rPr>
        <w:t xml:space="preserve">Developing</w:t>
      </w:r>
      <w:r>
        <w:t xml:space="preserve"> </w:t>
      </w:r>
      <w:r>
        <w:t xml:space="preserve">answer however fluent it was — this category</w:t>
      </w:r>
      <w:r>
        <w:t xml:space="preserve"> </w:t>
      </w:r>
      <w:r>
        <w:t xml:space="preserve">exists precisely to catch the case where the other six re-score the same thing.</w:t>
      </w:r>
    </w:p>
    <w:p>
      <w:r>
        <w:pict>
          <v:rect style="width:0;height:1.5pt" o:hralign="center" o:hrstd="t" o:hr="t"/>
        </w:pict>
      </w:r>
    </w:p>
    <w:bookmarkEnd w:id="43"/>
    <w:bookmarkEnd w:id="44"/>
    <w:bookmarkStart w:id="45" w:name="moderation"/>
    <w:p>
      <w:pPr>
        <w:pStyle w:val="Heading2"/>
      </w:pPr>
      <w:r>
        <w:t xml:space="preserve">Moderation</w:t>
      </w:r>
    </w:p>
    <w:p>
      <w:pPr>
        <w:pStyle w:val="FirstParagraph"/>
      </w:pPr>
      <w:r>
        <w:t xml:space="preserve">Consistency between assessors is a property you build, not one you hope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Why</w:t>
            </w:r>
          </w:p>
        </w:tc>
      </w:tr>
      <w:tr>
        <w:tc>
          <w:tcPr/>
          <w:p>
            <w:pPr>
              <w:pStyle w:val="Compact"/>
              <w:jc w:val="left"/>
            </w:pPr>
            <w:r>
              <w:rPr>
                <w:bCs/>
                <w:b/>
              </w:rPr>
              <w:t xml:space="preserve">Mark against evidence, one category at a time</w:t>
            </w:r>
          </w:p>
        </w:tc>
        <w:tc>
          <w:tcPr/>
          <w:p>
            <w:pPr>
              <w:pStyle w:val="Compact"/>
              <w:jc w:val="left"/>
            </w:pPr>
            <w:r>
              <w:t xml:space="preserve">Marking a learner holistically and then distributing the number is how a strong defence pulls up five unrelated categories. Do the categories in order and total them afterwards</w:t>
            </w:r>
          </w:p>
        </w:tc>
      </w:tr>
      <w:tr>
        <w:tc>
          <w:tcPr/>
          <w:p>
            <w:pPr>
              <w:pStyle w:val="Compact"/>
              <w:jc w:val="left"/>
            </w:pPr>
            <w:r>
              <w:rPr>
                <w:bCs/>
                <w:b/>
              </w:rPr>
              <w:t xml:space="preserve">Second-marker on anything within 5% of a boundary</w:t>
            </w:r>
            <w:r>
              <w:t xml:space="preserve">, and on every fail</w:t>
            </w:r>
          </w:p>
        </w:tc>
        <w:tc>
          <w:tcPr/>
          <w:p>
            <w:pPr>
              <w:pStyle w:val="Compact"/>
              <w:jc w:val="left"/>
            </w:pPr>
            <w:r>
              <w:t xml:space="preserve">The boundaries are where disagreement lives, and a fail must be defensible to somebody who was not in the room</w:t>
            </w:r>
          </w:p>
        </w:tc>
      </w:tr>
      <w:tr>
        <w:tc>
          <w:tcPr/>
          <w:p>
            <w:pPr>
              <w:pStyle w:val="Compact"/>
              <w:jc w:val="left"/>
            </w:pPr>
            <w:r>
              <w:rPr>
                <w:bCs/>
                <w:b/>
              </w:rPr>
              <w:t xml:space="preserve">The two assessors mark independently, then reconcile</w:t>
            </w:r>
          </w:p>
        </w:tc>
        <w:tc>
          <w:tcPr/>
          <w:p>
            <w:pPr>
              <w:pStyle w:val="Compact"/>
              <w:jc w:val="left"/>
            </w:pPr>
            <w:r>
              <w:t xml:space="preserve">Reconciling from two independent marks surfaces the disagreement. Marking together produces one mark and one opinion</w:t>
            </w:r>
          </w:p>
        </w:tc>
      </w:tr>
      <w:tr>
        <w:tc>
          <w:tcPr/>
          <w:p>
            <w:pPr>
              <w:pStyle w:val="Compact"/>
              <w:jc w:val="left"/>
            </w:pPr>
            <w:r>
              <w:rPr>
                <w:bCs/>
                <w:b/>
              </w:rPr>
              <w:t xml:space="preserve">Where they cannot agree, the lower band stands, and the reason is written down</w:t>
            </w:r>
          </w:p>
        </w:tc>
        <w:tc>
          <w:tcPr/>
          <w:p>
            <w:pPr>
              <w:pStyle w:val="Compact"/>
              <w:jc w:val="left"/>
            </w:pPr>
            <w:r>
              <w:t xml:space="preserve">Recorded disagreement is how the descriptors get better. An unrecorded compromise teaches nobody</w:t>
            </w:r>
          </w:p>
        </w:tc>
      </w:tr>
      <w:tr>
        <w:tc>
          <w:tcPr/>
          <w:p>
            <w:pPr>
              <w:pStyle w:val="Compact"/>
              <w:jc w:val="left"/>
            </w:pPr>
            <w:r>
              <w:rPr>
                <w:bCs/>
                <w:b/>
              </w:rPr>
              <w:t xml:space="preserve">Calibrate before the first defence</w:t>
            </w:r>
          </w:p>
        </w:tc>
        <w:tc>
          <w:tcPr/>
          <w:p>
            <w:pPr>
              <w:pStyle w:val="Compact"/>
              <w:jc w:val="left"/>
            </w:pPr>
            <w:r>
              <w:t xml:space="preserve">Both assessors mark the instructor guide’s worked exemplar independently and compare. Half an hour, once per cohort, and it is the single highest-value thing you can do for consistency</w:t>
            </w:r>
          </w:p>
        </w:tc>
      </w:tr>
    </w:tbl>
    <w:p>
      <w:pPr>
        <w:pStyle w:val="BlockText"/>
      </w:pPr>
      <w:r>
        <w:rPr>
          <w:bCs/>
          <w:b/>
        </w:rPr>
        <w:t xml:space="preserve">If you cannot point at the evidence a band names, you cannot award that</w:t>
      </w:r>
      <w:r>
        <w:rPr>
          <w:bCs/>
          <w:b/>
        </w:rPr>
        <w:t xml:space="preserve"> </w:t>
      </w:r>
      <w:r>
        <w:rPr>
          <w:bCs/>
          <w:b/>
        </w:rPr>
        <w:t xml:space="preserve">band.</w:t>
      </w:r>
      <w:r>
        <w:t xml:space="preserve"> </w:t>
      </w:r>
      <w:r>
        <w:t xml:space="preserve">That rule is the whole of this section. It is the same standard the</w:t>
      </w:r>
      <w:r>
        <w:t xml:space="preserve"> </w:t>
      </w:r>
      <w:r>
        <w:t xml:space="preserve">program asks of a quality gate: an assertion without evidence behind it is an</w:t>
      </w:r>
      <w:r>
        <w:t xml:space="preserve"> </w:t>
      </w:r>
      <w:r>
        <w:t xml:space="preserve">opinion with a number attached.</w:t>
      </w:r>
    </w:p>
    <w:p>
      <w:r>
        <w:pict>
          <v:rect style="width:0;height:1.5pt" o:hralign="center" o:hrstd="t" o:hr="t"/>
        </w:pict>
      </w:r>
    </w:p>
    <w:bookmarkEnd w:id="45"/>
    <w:bookmarkEnd w:id="46"/>
    <w:bookmarkStart w:id="47" w:name="quality-gates-and-thresholds"/>
    <w:p>
      <w:pPr>
        <w:pStyle w:val="Heading1"/>
      </w:pPr>
      <w:r>
        <w:t xml:space="preserve">Quality gates and thresholds</w:t>
      </w:r>
    </w:p>
    <w:p>
      <w:pPr>
        <w:pStyle w:val="FirstParagraph"/>
      </w:pPr>
      <w:r>
        <w:t xml:space="preserve">Used throughout the program and enforced in the capstone pipeline.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Tool</w:t>
            </w:r>
          </w:p>
        </w:tc>
        <w:tc>
          <w:tcPr/>
          <w:p>
            <w:pPr>
              <w:pStyle w:val="Compact"/>
              <w:jc w:val="left"/>
            </w:pPr>
            <w:r>
              <w:t xml:space="preserve">Target</w:t>
            </w:r>
          </w:p>
        </w:tc>
        <w:tc>
          <w:tcPr/>
          <w:p>
            <w:pPr>
              <w:pStyle w:val="Compact"/>
              <w:jc w:val="left"/>
            </w:pPr>
            <w:r>
              <w:t xml:space="preserve">Gate</w:t>
            </w:r>
          </w:p>
        </w:tc>
      </w:tr>
      <w:tr>
        <w:tc>
          <w:tcPr/>
          <w:p>
            <w:pPr>
              <w:pStyle w:val="Compact"/>
              <w:jc w:val="left"/>
            </w:pPr>
            <w:r>
              <w:t xml:space="preserve">Line coverage</w:t>
            </w:r>
          </w:p>
        </w:tc>
        <w:tc>
          <w:tcPr/>
          <w:p>
            <w:pPr>
              <w:pStyle w:val="Compact"/>
              <w:jc w:val="left"/>
            </w:pPr>
            <w:r>
              <w:t xml:space="preserve">JaCoCo / Coverlet / pytest-cov</w:t>
            </w:r>
          </w:p>
        </w:tc>
        <w:tc>
          <w:tcPr/>
          <w:p>
            <w:pPr>
              <w:pStyle w:val="Compact"/>
              <w:jc w:val="left"/>
            </w:pPr>
            <w:r>
              <w:t xml:space="preserve">≥ 80%</w:t>
            </w:r>
          </w:p>
        </w:tc>
        <w:tc>
          <w:tcPr/>
          <w:p>
            <w:pPr>
              <w:pStyle w:val="Compact"/>
              <w:jc w:val="left"/>
            </w:pPr>
            <w:r>
              <w:t xml:space="preserve">Build fails if unmet</w:t>
            </w:r>
          </w:p>
        </w:tc>
      </w:tr>
      <w:tr>
        <w:tc>
          <w:tcPr/>
          <w:p>
            <w:pPr>
              <w:pStyle w:val="Compact"/>
              <w:jc w:val="left"/>
            </w:pPr>
            <w:r>
              <w:t xml:space="preserve">Branch coverage</w:t>
            </w:r>
          </w:p>
        </w:tc>
        <w:tc>
          <w:tcPr/>
          <w:p>
            <w:pPr>
              <w:pStyle w:val="Compact"/>
              <w:jc w:val="left"/>
            </w:pPr>
            <w:r>
              <w:t xml:space="preserve">The same tools</w:t>
            </w:r>
          </w:p>
        </w:tc>
        <w:tc>
          <w:tcPr/>
          <w:p>
            <w:pPr>
              <w:pStyle w:val="Compact"/>
              <w:jc w:val="left"/>
            </w:pPr>
            <w:r>
              <w:t xml:space="preserve">≥ 60%</w:t>
            </w:r>
          </w:p>
        </w:tc>
        <w:tc>
          <w:tcPr/>
          <w:p>
            <w:pPr>
              <w:pStyle w:val="Compact"/>
              <w:jc w:val="left"/>
            </w:pPr>
            <w:r>
              <w:t xml:space="preserve">Build fails if unmet</w:t>
            </w:r>
          </w:p>
        </w:tc>
      </w:tr>
      <w:tr>
        <w:tc>
          <w:tcPr/>
          <w:p>
            <w:pPr>
              <w:pStyle w:val="Compact"/>
              <w:jc w:val="left"/>
            </w:pPr>
            <w:r>
              <w:t xml:space="preserve">Maintainability</w:t>
            </w:r>
          </w:p>
        </w:tc>
        <w:tc>
          <w:tcPr/>
          <w:p>
            <w:pPr>
              <w:pStyle w:val="Compact"/>
              <w:jc w:val="left"/>
            </w:pPr>
            <w:r>
              <w:t xml:space="preserve">SonarQube Cloud</w:t>
            </w:r>
          </w:p>
        </w:tc>
        <w:tc>
          <w:tcPr/>
          <w:p>
            <w:pPr>
              <w:pStyle w:val="Compact"/>
              <w:jc w:val="left"/>
            </w:pPr>
            <w:r>
              <w:t xml:space="preserve">Grade A</w:t>
            </w:r>
          </w:p>
        </w:tc>
        <w:tc>
          <w:tcPr/>
          <w:p>
            <w:pPr>
              <w:pStyle w:val="Compact"/>
              <w:jc w:val="left"/>
            </w:pPr>
            <w:r>
              <w:t xml:space="preserve">Build fails</w:t>
            </w:r>
          </w:p>
        </w:tc>
      </w:tr>
      <w:tr>
        <w:tc>
          <w:tcPr/>
          <w:p>
            <w:pPr>
              <w:pStyle w:val="Compact"/>
              <w:jc w:val="left"/>
            </w:pPr>
            <w:r>
              <w:t xml:space="preserve">Performance (p95)</w:t>
            </w:r>
          </w:p>
        </w:tc>
        <w:tc>
          <w:tcPr/>
          <w:p>
            <w:pPr>
              <w:pStyle w:val="Compact"/>
              <w:jc w:val="left"/>
            </w:pPr>
            <w:r>
              <w:t xml:space="preserve">k6 / JMeter</w:t>
            </w:r>
          </w:p>
        </w:tc>
        <w:tc>
          <w:tcPr/>
          <w:p>
            <w:pPr>
              <w:pStyle w:val="Compact"/>
              <w:jc w:val="left"/>
            </w:pPr>
            <w:r>
              <w:t xml:space="preserve">≤ 500 ms</w:t>
            </w:r>
          </w:p>
        </w:tc>
        <w:tc>
          <w:tcPr/>
          <w:p>
            <w:pPr>
              <w:pStyle w:val="Compact"/>
              <w:jc w:val="left"/>
            </w:pPr>
            <w:r>
              <w:t xml:space="preserve">LoadTest stage fails</w:t>
            </w:r>
          </w:p>
        </w:tc>
      </w:tr>
      <w:tr>
        <w:tc>
          <w:tcPr/>
          <w:p>
            <w:pPr>
              <w:pStyle w:val="Compact"/>
              <w:jc w:val="left"/>
            </w:pPr>
            <w:r>
              <w:t xml:space="preserve">Error rate</w:t>
            </w:r>
          </w:p>
        </w:tc>
        <w:tc>
          <w:tcPr/>
          <w:p>
            <w:pPr>
              <w:pStyle w:val="Compact"/>
              <w:jc w:val="left"/>
            </w:pPr>
            <w:r>
              <w:t xml:space="preserve">k6 / Grafana</w:t>
            </w:r>
          </w:p>
        </w:tc>
        <w:tc>
          <w:tcPr/>
          <w:p>
            <w:pPr>
              <w:pStyle w:val="Compact"/>
              <w:jc w:val="left"/>
            </w:pPr>
            <w:r>
              <w:t xml:space="preserve">&lt; 1%</w:t>
            </w:r>
          </w:p>
        </w:tc>
        <w:tc>
          <w:tcPr/>
          <w:p>
            <w:pPr>
              <w:pStyle w:val="Compact"/>
              <w:jc w:val="left"/>
            </w:pPr>
            <w:r>
              <w:t xml:space="preserve">LoadTest stage fails</w:t>
            </w:r>
          </w:p>
        </w:tc>
      </w:tr>
      <w:tr>
        <w:tc>
          <w:tcPr/>
          <w:p>
            <w:pPr>
              <w:pStyle w:val="Compact"/>
              <w:jc w:val="left"/>
            </w:pPr>
            <w:r>
              <w:t xml:space="preserve">Security</w:t>
            </w:r>
          </w:p>
        </w:tc>
        <w:tc>
          <w:tcPr/>
          <w:p>
            <w:pPr>
              <w:pStyle w:val="Compact"/>
              <w:jc w:val="left"/>
            </w:pPr>
            <w:r>
              <w:t xml:space="preserve">Snyk / ZAP</w:t>
            </w:r>
          </w:p>
        </w:tc>
        <w:tc>
          <w:tcPr/>
          <w:p>
            <w:pPr>
              <w:pStyle w:val="Compact"/>
              <w:jc w:val="left"/>
            </w:pPr>
            <w:r>
              <w:t xml:space="preserve">0 critical</w:t>
            </w:r>
            <w:r>
              <w:t xml:space="preserve"> </w:t>
            </w:r>
            <w:r>
              <w:rPr>
                <w:bCs/>
                <w:b/>
              </w:rPr>
              <w:t xml:space="preserve">and 0 high</w:t>
            </w:r>
            <w:r>
              <w:t xml:space="preserve"> </w:t>
            </w:r>
            <w:r>
              <w:t xml:space="preserve">CVEs</w:t>
            </w:r>
          </w:p>
        </w:tc>
        <w:tc>
          <w:tcPr/>
          <w:p>
            <w:pPr>
              <w:pStyle w:val="Compact"/>
              <w:jc w:val="left"/>
            </w:pPr>
            <w:r>
              <w:t xml:space="preserve">Block merge</w:t>
            </w:r>
          </w:p>
        </w:tc>
      </w:tr>
      <w:tr>
        <w:tc>
          <w:tcPr/>
          <w:p>
            <w:pPr>
              <w:pStyle w:val="Compact"/>
              <w:jc w:val="left"/>
            </w:pPr>
            <w:r>
              <w:t xml:space="preserve">Accessibility</w:t>
            </w:r>
          </w:p>
        </w:tc>
        <w:tc>
          <w:tcPr/>
          <w:p>
            <w:pPr>
              <w:pStyle w:val="Compact"/>
              <w:jc w:val="left"/>
            </w:pPr>
            <w:r>
              <w:t xml:space="preserve">axe-core / Lighthouse</w:t>
            </w:r>
          </w:p>
        </w:tc>
        <w:tc>
          <w:tcPr/>
          <w:p>
            <w:pPr>
              <w:pStyle w:val="Compact"/>
              <w:jc w:val="left"/>
            </w:pPr>
            <w:r>
              <w:t xml:space="preserve">≥ 95 / 0 critical</w:t>
            </w:r>
            <w:r>
              <w:t xml:space="preserve"> </w:t>
            </w:r>
            <w:r>
              <w:rPr>
                <w:bCs/>
                <w:b/>
              </w:rPr>
              <w:t xml:space="preserve">and 0 serious</w:t>
            </w:r>
            <w:r>
              <w:t xml:space="preserve"> </w:t>
            </w:r>
            <w:r>
              <w:t xml:space="preserve">violations</w:t>
            </w:r>
          </w:p>
        </w:tc>
        <w:tc>
          <w:tcPr/>
          <w:p>
            <w:pPr>
              <w:pStyle w:val="Compact"/>
              <w:jc w:val="left"/>
            </w:pPr>
            <w:r>
              <w:t xml:space="preserve">A11y stage fails</w:t>
            </w:r>
          </w:p>
        </w:tc>
      </w:tr>
      <w:tr>
        <w:tc>
          <w:tcPr/>
          <w:p>
            <w:pPr>
              <w:pStyle w:val="Compact"/>
              <w:jc w:val="left"/>
            </w:pPr>
            <w:r>
              <w:t xml:space="preserve">Pipeline success</w:t>
            </w:r>
          </w:p>
        </w:tc>
        <w:tc>
          <w:tcPr/>
          <w:p>
            <w:pPr>
              <w:pStyle w:val="Compact"/>
              <w:jc w:val="left"/>
            </w:pPr>
            <w:r>
              <w:t xml:space="preserve">GitHub Actions / Jenkins</w:t>
            </w:r>
          </w:p>
        </w:tc>
        <w:tc>
          <w:tcPr/>
          <w:p>
            <w:pPr>
              <w:pStyle w:val="Compact"/>
              <w:jc w:val="left"/>
            </w:pPr>
            <w:r>
              <w:t xml:space="preserve">100%</w:t>
            </w:r>
          </w:p>
        </w:tc>
        <w:tc>
          <w:tcPr/>
          <w:p>
            <w:pPr>
              <w:pStyle w:val="Compact"/>
              <w:jc w:val="left"/>
            </w:pPr>
            <w:r>
              <w:t xml:space="preserve">—</w:t>
            </w:r>
          </w:p>
        </w:tc>
      </w:tr>
    </w:tbl>
    <w:p>
      <w:r>
        <w:pict>
          <v:rect style="width:0;height:1.5pt" o:hralign="center" o:hrstd="t" o:hr="t"/>
        </w:pict>
      </w:r>
    </w:p>
    <w:bookmarkEnd w:id="47"/>
    <w:bookmarkStart w:id="48" w:name="comprehensive-toolchain"/>
    <w:p>
      <w:pPr>
        <w:pStyle w:val="Heading1"/>
      </w:pPr>
      <w:r>
        <w:t xml:space="preserve">Comprehensive toolchain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Tools</w:t>
            </w:r>
          </w:p>
        </w:tc>
      </w:tr>
      <w:tr>
        <w:tc>
          <w:tcPr/>
          <w:p>
            <w:pPr>
              <w:pStyle w:val="Compact"/>
              <w:jc w:val="left"/>
            </w:pPr>
            <w:r>
              <w:t xml:space="preserve">Version control</w:t>
            </w:r>
          </w:p>
        </w:tc>
        <w:tc>
          <w:tcPr/>
          <w:p>
            <w:pPr>
              <w:pStyle w:val="Compact"/>
              <w:jc w:val="left"/>
            </w:pPr>
            <w:r>
              <w:t xml:space="preserve">Git, GitHub, GitLab</w:t>
            </w:r>
          </w:p>
        </w:tc>
      </w:tr>
      <w:tr>
        <w:tc>
          <w:tcPr/>
          <w:p>
            <w:pPr>
              <w:pStyle w:val="Compact"/>
              <w:jc w:val="left"/>
            </w:pPr>
            <w:r>
              <w:t xml:space="preserve">Unit &amp; integration</w:t>
            </w:r>
          </w:p>
        </w:tc>
        <w:tc>
          <w:tcPr/>
          <w:p>
            <w:pPr>
              <w:pStyle w:val="Compact"/>
              <w:jc w:val="left"/>
            </w:pPr>
            <w:r>
              <w:t xml:space="preserve">JUnit, pytest, NUnit, xUnit, GoogleTest, REST Assured, WireMock, TestContainers</w:t>
            </w:r>
          </w:p>
        </w:tc>
      </w:tr>
      <w:tr>
        <w:tc>
          <w:tcPr/>
          <w:p>
            <w:pPr>
              <w:pStyle w:val="Compact"/>
              <w:jc w:val="left"/>
            </w:pPr>
            <w:r>
              <w:t xml:space="preserve">E2E / BDD</w:t>
            </w:r>
          </w:p>
        </w:tc>
        <w:tc>
          <w:tcPr/>
          <w:p>
            <w:pPr>
              <w:pStyle w:val="Compact"/>
              <w:jc w:val="left"/>
            </w:pPr>
            <w:r>
              <w:t xml:space="preserve">Selenium, Playwright, Cypress, Cucumber, Reqnroll (formerly SpecFlow, which reached end of life in 2024)</w:t>
            </w:r>
          </w:p>
        </w:tc>
      </w:tr>
      <w:tr>
        <w:tc>
          <w:tcPr/>
          <w:p>
            <w:pPr>
              <w:pStyle w:val="Compact"/>
              <w:jc w:val="left"/>
            </w:pPr>
            <w:r>
              <w:t xml:space="preserve">BDD / specification layer</w:t>
            </w:r>
            <w:r>
              <w:t xml:space="preserve"> </w:t>
            </w:r>
            <w:r>
              <w:rPr>
                <w:iCs/>
                <w:i/>
              </w:rPr>
              <w:t xml:space="preserve">(optional, Week 2)</w:t>
            </w:r>
          </w:p>
        </w:tc>
        <w:tc>
          <w:tcPr/>
          <w:p>
            <w:pPr>
              <w:pStyle w:val="Compact"/>
              <w:jc w:val="left"/>
            </w:pPr>
            <w:r>
              <w:t xml:space="preserve">Cucumber, Reqnroll, Behave, pytest-bdd</w:t>
            </w:r>
          </w:p>
        </w:tc>
      </w:tr>
      <w:tr>
        <w:tc>
          <w:tcPr/>
          <w:p>
            <w:pPr>
              <w:pStyle w:val="Compact"/>
              <w:jc w:val="left"/>
            </w:pPr>
            <w:r>
              <w:t xml:space="preserve">Contract testing</w:t>
            </w:r>
          </w:p>
        </w:tc>
        <w:tc>
          <w:tcPr/>
          <w:p>
            <w:pPr>
              <w:pStyle w:val="Compact"/>
              <w:jc w:val="left"/>
            </w:pPr>
            <w:r>
              <w:t xml:space="preserve">Pact, Spring Cloud Contract</w:t>
            </w:r>
          </w:p>
        </w:tc>
      </w:tr>
      <w:tr>
        <w:tc>
          <w:tcPr/>
          <w:p>
            <w:pPr>
              <w:pStyle w:val="Compact"/>
              <w:jc w:val="left"/>
            </w:pPr>
            <w:r>
              <w:t xml:space="preserve">Static analysis</w:t>
            </w:r>
          </w:p>
        </w:tc>
        <w:tc>
          <w:tcPr/>
          <w:p>
            <w:pPr>
              <w:pStyle w:val="Compact"/>
              <w:jc w:val="left"/>
            </w:pPr>
            <w:r>
              <w:t xml:space="preserve">SonarQube, SonarQube Cloud, ESLint, StyleCop</w:t>
            </w:r>
          </w:p>
        </w:tc>
      </w:tr>
      <w:tr>
        <w:tc>
          <w:tcPr/>
          <w:p>
            <w:pPr>
              <w:pStyle w:val="Compact"/>
              <w:jc w:val="left"/>
            </w:pPr>
            <w:r>
              <w:t xml:space="preserve">Coverage</w:t>
            </w:r>
          </w:p>
        </w:tc>
        <w:tc>
          <w:tcPr/>
          <w:p>
            <w:pPr>
              <w:pStyle w:val="Compact"/>
              <w:jc w:val="left"/>
            </w:pPr>
            <w:r>
              <w:t xml:space="preserve">JaCoCo, Coverlet, pytest-cov, ReportGenerator, gcovr</w:t>
            </w:r>
          </w:p>
        </w:tc>
      </w:tr>
      <w:tr>
        <w:tc>
          <w:tcPr/>
          <w:p>
            <w:pPr>
              <w:pStyle w:val="Compact"/>
              <w:jc w:val="left"/>
            </w:pPr>
            <w:r>
              <w:t xml:space="preserve">Mutation testing</w:t>
            </w:r>
          </w:p>
        </w:tc>
        <w:tc>
          <w:tcPr/>
          <w:p>
            <w:pPr>
              <w:pStyle w:val="Compact"/>
              <w:jc w:val="left"/>
            </w:pPr>
            <w:r>
              <w:t xml:space="preserve">PIT (Java), MutMut (Python), Stryker (C#), Mull (C++)</w:t>
            </w:r>
          </w:p>
        </w:tc>
      </w:tr>
      <w:tr>
        <w:tc>
          <w:tcPr/>
          <w:p>
            <w:pPr>
              <w:pStyle w:val="Compact"/>
              <w:jc w:val="left"/>
            </w:pPr>
            <w:r>
              <w:t xml:space="preserve">Performance &amp; load</w:t>
            </w:r>
          </w:p>
        </w:tc>
        <w:tc>
          <w:tcPr/>
          <w:p>
            <w:pPr>
              <w:pStyle w:val="Compact"/>
              <w:jc w:val="left"/>
            </w:pPr>
            <w:r>
              <w:t xml:space="preserve">k6, JMeter, Locust, Gatling</w:t>
            </w:r>
          </w:p>
        </w:tc>
      </w:tr>
      <w:tr>
        <w:tc>
          <w:tcPr/>
          <w:p>
            <w:pPr>
              <w:pStyle w:val="Compact"/>
              <w:jc w:val="left"/>
            </w:pPr>
            <w:r>
              <w:t xml:space="preserve">Security</w:t>
            </w:r>
          </w:p>
        </w:tc>
        <w:tc>
          <w:tcPr/>
          <w:p>
            <w:pPr>
              <w:pStyle w:val="Compact"/>
              <w:jc w:val="left"/>
            </w:pPr>
            <w:r>
              <w:t xml:space="preserve">ZAP, Snyk, Trivy</w:t>
            </w:r>
          </w:p>
        </w:tc>
      </w:tr>
      <w:tr>
        <w:tc>
          <w:tcPr/>
          <w:p>
            <w:pPr>
              <w:pStyle w:val="Compact"/>
              <w:jc w:val="left"/>
            </w:pPr>
            <w:r>
              <w:t xml:space="preserve">Accessibility</w:t>
            </w:r>
          </w:p>
        </w:tc>
        <w:tc>
          <w:tcPr/>
          <w:p>
            <w:pPr>
              <w:pStyle w:val="Compact"/>
              <w:jc w:val="left"/>
            </w:pPr>
            <w:r>
              <w:t xml:space="preserve">axe-core, Lighthouse, Pa11y</w:t>
            </w:r>
          </w:p>
        </w:tc>
      </w:tr>
      <w:tr>
        <w:tc>
          <w:tcPr/>
          <w:p>
            <w:pPr>
              <w:pStyle w:val="Compact"/>
              <w:jc w:val="left"/>
            </w:pPr>
            <w:r>
              <w:t xml:space="preserve">CI/CD</w:t>
            </w:r>
          </w:p>
        </w:tc>
        <w:tc>
          <w:tcPr/>
          <w:p>
            <w:pPr>
              <w:pStyle w:val="Compact"/>
              <w:jc w:val="left"/>
            </w:pPr>
            <w:r>
              <w:t xml:space="preserve">GitHub Actions, Jenkins, Azure Pipelines</w:t>
            </w:r>
          </w:p>
        </w:tc>
      </w:tr>
      <w:tr>
        <w:tc>
          <w:tcPr/>
          <w:p>
            <w:pPr>
              <w:pStyle w:val="Compact"/>
              <w:jc w:val="left"/>
            </w:pPr>
            <w:r>
              <w:t xml:space="preserve">Reporting</w:t>
            </w:r>
          </w:p>
        </w:tc>
        <w:tc>
          <w:tcPr/>
          <w:p>
            <w:pPr>
              <w:pStyle w:val="Compact"/>
              <w:jc w:val="left"/>
            </w:pPr>
            <w:r>
              <w:t xml:space="preserve">Allure, Grafana, HTML reports</w:t>
            </w:r>
          </w:p>
        </w:tc>
      </w:tr>
    </w:tbl>
    <w:p>
      <w:r>
        <w:pict>
          <v:rect style="width:0;height:1.5pt" o:hralign="center" o:hrstd="t" o:hr="t"/>
        </w:pict>
      </w:r>
    </w:p>
    <w:bookmarkEnd w:id="48"/>
    <w:bookmarkStart w:id="49" w:name="standards-grounding"/>
    <w:p>
      <w:pPr>
        <w:pStyle w:val="Heading1"/>
      </w:pPr>
      <w:r>
        <w:t xml:space="preserve">Standards grounding</w:t>
      </w:r>
    </w:p>
    <w:p>
      <w:pPr>
        <w:numPr>
          <w:ilvl w:val="0"/>
          <w:numId w:val="1006"/>
        </w:numPr>
        <w:pStyle w:val="Compact"/>
      </w:pPr>
      <w:r>
        <w:rPr>
          <w:bCs/>
          <w:b/>
        </w:rPr>
        <w:t xml:space="preserve">ISO/IEC 25010</w:t>
      </w:r>
      <w:r>
        <w:t xml:space="preserve"> </w:t>
      </w:r>
      <w:r>
        <w:t xml:space="preserve">— software product quality model</w:t>
      </w:r>
    </w:p>
    <w:p>
      <w:pPr>
        <w:numPr>
          <w:ilvl w:val="0"/>
          <w:numId w:val="1006"/>
        </w:numPr>
        <w:pStyle w:val="Compact"/>
      </w:pPr>
      <w:r>
        <w:rPr>
          <w:bCs/>
          <w:b/>
        </w:rPr>
        <w:t xml:space="preserve">WCAG 2.1 AA</w:t>
      </w:r>
      <w:r>
        <w:t xml:space="preserve"> </w:t>
      </w:r>
      <w:r>
        <w:t xml:space="preserve">— accessibility conformance</w:t>
      </w:r>
    </w:p>
    <w:p>
      <w:pPr>
        <w:numPr>
          <w:ilvl w:val="0"/>
          <w:numId w:val="1006"/>
        </w:numPr>
        <w:pStyle w:val="Compact"/>
      </w:pPr>
      <w:r>
        <w:rPr>
          <w:bCs/>
          <w:b/>
        </w:rPr>
        <w:t xml:space="preserve">DORA</w:t>
      </w:r>
      <w:r>
        <w:t xml:space="preserve"> </w:t>
      </w:r>
      <w:r>
        <w:t xml:space="preserve">— five metrics: deployment frequency, change lead time, change failure rate, failed deployment recovery time (2018–2023: MTTR) and deployment rework rate (added 2024); see Week 4 §4.2</w:t>
      </w:r>
    </w:p>
    <w:p>
      <w:pPr>
        <w:numPr>
          <w:ilvl w:val="0"/>
          <w:numId w:val="1006"/>
        </w:numPr>
        <w:pStyle w:val="Compact"/>
      </w:pPr>
      <w:r>
        <w:rPr>
          <w:bCs/>
          <w:b/>
        </w:rPr>
        <w:t xml:space="preserve">OWASP Top 10</w:t>
      </w:r>
      <w:r>
        <w:t xml:space="preserve"> </w:t>
      </w:r>
      <w:r>
        <w:t xml:space="preserve">— security testing scope</w:t>
      </w:r>
    </w:p>
    <w:p>
      <w:pPr>
        <w:numPr>
          <w:ilvl w:val="0"/>
          <w:numId w:val="1006"/>
        </w:numPr>
        <w:pStyle w:val="Compact"/>
      </w:pPr>
      <w:r>
        <w:rPr>
          <w:bCs/>
          <w:b/>
        </w:rPr>
        <w:t xml:space="preserve">PDCA / PDSA / Kaizen</w:t>
      </w:r>
      <w:r>
        <w:t xml:space="preserve"> </w:t>
      </w:r>
      <w:r>
        <w:t xml:space="preserve">— the continuous-improvement cycle (Shewhart’s, popularised by Deming, who preferred</w:t>
      </w:r>
      <w:r>
        <w:t xml:space="preserve"> </w:t>
      </w:r>
      <w:r>
        <w:rPr>
          <w:iCs/>
          <w:i/>
        </w:rPr>
        <w:t xml:space="preserve">Study</w:t>
      </w:r>
      <w:r>
        <w:t xml:space="preserve"> </w:t>
      </w:r>
      <w:r>
        <w:t xml:space="preserve">to</w:t>
      </w:r>
      <w:r>
        <w:t xml:space="preserve"> </w:t>
      </w:r>
      <w:r>
        <w:rPr>
          <w:iCs/>
          <w:i/>
        </w:rPr>
        <w:t xml:space="preserve">Check</w:t>
      </w:r>
      <w:r>
        <w:t xml:space="preserve">)</w:t>
      </w:r>
    </w:p>
    <w:p>
      <w:r>
        <w:pict>
          <v:rect style="width:0;height:1.5pt" o:hralign="center" o:hrstd="t" o:hr="t"/>
        </w:pict>
      </w:r>
    </w:p>
    <w:bookmarkEnd w:id="49"/>
    <w:bookmarkStart w:id="50" w:name="program-outcome"/>
    <w:p>
      <w:pPr>
        <w:pStyle w:val="Heading1"/>
      </w:pPr>
      <w:r>
        <w:t xml:space="preserve">Program outcome</w:t>
      </w:r>
    </w:p>
    <w:p>
      <w:pPr>
        <w:pStyle w:val="FirstParagraph"/>
      </w:pPr>
      <w:r>
        <w:t xml:space="preserve">Graduates possess a complete functional and non-functional automation framework with CI/CD integration, demonstrating continuous quality principles and Clean Code craftsmanship — evidenced by a working repository, a metrics report and a defended presentation.</w:t>
      </w:r>
    </w:p>
    <w:p>
      <w:r>
        <w:pict>
          <v:rect style="width:0;height:1.5pt" o:hralign="center" o:hrstd="t" o:hr="t"/>
        </w:pict>
      </w:r>
    </w:p>
    <w:bookmarkEnd w:id="50"/>
    <w:bookmarkStart w:id="51" w:name="supporting-materials"/>
    <w:p>
      <w:pPr>
        <w:pStyle w:val="Heading1"/>
      </w:pPr>
      <w:r>
        <w:t xml:space="preserve">Supporting materials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Material</w:t>
            </w:r>
          </w:p>
        </w:tc>
        <w:tc>
          <w:tcPr/>
          <w:p>
            <w:pPr>
              <w:pStyle w:val="Compact"/>
              <w:jc w:val="left"/>
            </w:pPr>
            <w:r>
              <w:t xml:space="preserve">Status</w:t>
            </w:r>
          </w:p>
        </w:tc>
      </w:tr>
      <w:tr>
        <w:tc>
          <w:tcPr/>
          <w:p>
            <w:pPr>
              <w:pStyle w:val="Compact"/>
              <w:jc w:val="left"/>
            </w:pPr>
            <w:r>
              <w:t xml:space="preserve">Readers — Week 0, 4 weeks, Week 5 bonus</w:t>
            </w:r>
          </w:p>
        </w:tc>
        <w:tc>
          <w:tcPr/>
          <w:p>
            <w:pPr>
              <w:pStyle w:val="Compact"/>
              <w:jc w:val="left"/>
            </w:pPr>
            <w:r>
              <w:t xml:space="preserve">✅ Present</w:t>
            </w:r>
            <w:r>
              <w:t xml:space="preserve"> </w:t>
            </w:r>
            <w:r>
              <w:rPr>
                <w:iCs/>
                <w:i/>
              </w:rPr>
              <w:t xml:space="preserve">(all six rebuilt, exercises inline)</w:t>
            </w:r>
          </w:p>
        </w:tc>
      </w:tr>
      <w:tr>
        <w:tc>
          <w:tcPr/>
          <w:p>
            <w:pPr>
              <w:pStyle w:val="Compact"/>
              <w:jc w:val="left"/>
            </w:pPr>
            <w:r>
              <w:t xml:space="preserve">Learner workbooks — 5 weeks + appendices + the Carry-Forward Ledger</w:t>
            </w:r>
          </w:p>
        </w:tc>
        <w:tc>
          <w:tcPr/>
          <w:p>
            <w:pPr>
              <w:pStyle w:val="Compact"/>
              <w:jc w:val="left"/>
            </w:pPr>
            <w:r>
              <w:t xml:space="preserve">✅ Present</w:t>
            </w:r>
          </w:p>
        </w:tc>
      </w:tr>
      <w:tr>
        <w:tc>
          <w:tcPr/>
          <w:p>
            <w:pPr>
              <w:pStyle w:val="Compact"/>
              <w:jc w:val="left"/>
            </w:pPr>
            <w:r>
              <w:t xml:space="preserve">Instructor guides — 5 weeks + appendices</w:t>
            </w:r>
          </w:p>
        </w:tc>
        <w:tc>
          <w:tcPr/>
          <w:p>
            <w:pPr>
              <w:pStyle w:val="Compact"/>
              <w:jc w:val="left"/>
            </w:pPr>
            <w:r>
              <w:t xml:space="preserve">✅ Present</w:t>
            </w:r>
            <w:r>
              <w:t xml:space="preserve"> </w:t>
            </w:r>
            <w:r>
              <w:rPr>
                <w:iCs/>
                <w:i/>
              </w:rPr>
              <w:t xml:space="preserve">(all six at full depth)</w:t>
            </w:r>
          </w:p>
        </w:tc>
      </w:tr>
      <w:tr>
        <w:tc>
          <w:tcPr/>
          <w:p>
            <w:pPr>
              <w:pStyle w:val="Compact"/>
              <w:jc w:val="left"/>
            </w:pPr>
            <w:r>
              <w:t xml:space="preserve">Visuals pack</w:t>
            </w:r>
          </w:p>
        </w:tc>
        <w:tc>
          <w:tcPr/>
          <w:p>
            <w:pPr>
              <w:pStyle w:val="Compact"/>
              <w:jc w:val="left"/>
            </w:pPr>
            <w:r>
              <w:t xml:space="preserve">✅ Seven figures drawn, exported SVG + PNG, embedded in five readers</w:t>
            </w:r>
          </w:p>
        </w:tc>
      </w:tr>
      <w:tr>
        <w:tc>
          <w:tcPr/>
          <w:p>
            <w:pPr>
              <w:pStyle w:val="Compact"/>
              <w:jc w:val="left"/>
            </w:pPr>
            <w:r>
              <w:t xml:space="preserve">Assessment kit</w:t>
            </w:r>
          </w:p>
        </w:tc>
        <w:tc>
          <w:tcPr/>
          <w:p>
            <w:pPr>
              <w:pStyle w:val="Compact"/>
              <w:jc w:val="left"/>
            </w:pPr>
            <w:r>
              <w:t xml:space="preserve">✅ Formative quiz with answer key in all four weekly guides; weighted rubric per week</w:t>
            </w:r>
          </w:p>
        </w:tc>
      </w:tr>
      <w:tr>
        <w:tc>
          <w:tcPr/>
          <w:p>
            <w:pPr>
              <w:pStyle w:val="Compact"/>
              <w:jc w:val="left"/>
            </w:pPr>
            <w:r>
              <w:t xml:space="preserve">Starter repository — pipeline, quality gates, framework skeleton, document templates</w:t>
            </w:r>
          </w:p>
        </w:tc>
        <w:tc>
          <w:tcPr/>
          <w:p>
            <w:pPr>
              <w:pStyle w:val="Compact"/>
              <w:jc w:val="left"/>
            </w:pPr>
            <w:r>
              <w:t xml:space="preserve">✅ Built (75 files,</w:t>
            </w:r>
            <w:r>
              <w:t xml:space="preserve"> </w:t>
            </w:r>
            <w:r>
              <w:rPr>
                <w:rStyle w:val="VerbatimChar"/>
              </w:rPr>
              <w:t xml:space="preserve">qe-starter.zip</w:t>
            </w:r>
            <w:r>
              <w:t xml:space="preserve">)</w:t>
            </w:r>
          </w:p>
        </w:tc>
      </w:tr>
      <w:tr>
        <w:tc>
          <w:tcPr/>
          <w:p>
            <w:pPr>
              <w:pStyle w:val="Compact"/>
              <w:jc w:val="left"/>
            </w:pPr>
            <w:r>
              <w:t xml:space="preserve">Reference System Under Test to run inside it</w:t>
            </w:r>
          </w:p>
        </w:tc>
        <w:tc>
          <w:tcPr/>
          <w:p>
            <w:pPr>
              <w:pStyle w:val="Compact"/>
              <w:jc w:val="left"/>
            </w:pPr>
            <w:r>
              <w:t xml:space="preserve">✅ TalkDesk, three implementations against one contract</w:t>
            </w:r>
          </w:p>
        </w:tc>
      </w:tr>
      <w:tr>
        <w:tc>
          <w:tcPr/>
          <w:p>
            <w:pPr>
              <w:pStyle w:val="Compact"/>
              <w:jc w:val="left"/>
            </w:pPr>
            <w:r>
              <w:t xml:space="preserve">Certification template</w:t>
            </w:r>
          </w:p>
        </w:tc>
        <w:tc>
          <w:tcPr/>
          <w:p>
            <w:pPr>
              <w:pStyle w:val="Compact"/>
              <w:jc w:val="left"/>
            </w:pPr>
            <w:r>
              <w:t xml:space="preserve">✅</w:t>
            </w:r>
            <w:r>
              <w:t xml:space="preserve"> </w:t>
            </w:r>
            <w:r>
              <w:rPr>
                <w:rStyle w:val="VerbatimChar"/>
              </w:rPr>
              <w:t xml:space="preserve">docs/certificate-template.md</w:t>
            </w:r>
            <w:r>
              <w:t xml:space="preserve"> </w:t>
            </w:r>
            <w:r>
              <w:t xml:space="preserve">+</w:t>
            </w:r>
            <w:r>
              <w:t xml:space="preserve"> </w:t>
            </w:r>
            <w:r>
              <w:rPr>
                <w:rStyle w:val="VerbatimChar"/>
              </w:rPr>
              <w:t xml:space="preserve">scripts/verify-certificate.sh</w:t>
            </w:r>
          </w:p>
        </w:tc>
      </w:tr>
    </w:tbl>
    <w:bookmarkEnd w:id="51"/>
    <w:sectPr>
      <w:footerReference r:id="rId9" w:type="default"/>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6"/>
      </w:pBdr>
      <w:tabs>
        <w:tab w:val="right" w:pos="9360"/>
      </w:tabs>
      <w:spacing w:before="60" w:after="0"/>
      <w:rPr>
        <w:rFonts w:ascii="Calibri" w:hAnsi="Calibri"/>
        <w:color w:val="7A848C"/>
        <w:sz w:val="16"/>
      </w:rPr>
    </w:pPr>
    <w:r>
      <w:rPr>
        <w:rFonts w:ascii="Calibri" w:hAnsi="Calibri"/>
        <w:color w:val="7A848C"/>
        <w:sz w:val="16"/>
      </w:rPr>
      <w:t xml:space="preserve">Project Work Automation, Clean Code &amp; Software Quality Engineering · Canadian Edition 2025 · </w:t>
    </w:r>
    <w:r>
      <w:rPr>
        <w:rFonts w:ascii="Calibri" w:hAnsi="Calibri"/>
        <w:color w:val="7A848C"/>
        <w:sz w:val="16"/>
        <w:i/>
      </w:rPr>
      <w:t>Draft for review</w:t>
    </w:r>
    <w:r>
      <w:tab/>
    </w:r>
    <w:r>
      <w:rPr>
        <w:rFonts w:ascii="Calibri" w:hAnsi="Calibri"/>
        <w:color w:val="1F5F52"/>
        <w:sz w:val="16"/>
        <w:b/>
      </w:rPr>
      <w:fldChar w:fldCharType="begin"/>
    </w:r>
    <w:r>
      <w:rPr>
        <w:rFonts w:ascii="Calibri" w:hAnsi="Calibri"/>
        <w:color w:val="1F5F52"/>
        <w:sz w:val="16"/>
        <w:b/>
      </w:rPr>
      <w:instrText xml:space="preserve"> PAGE </w:instrText>
    </w:r>
    <w:r>
      <w:rPr>
        <w:rFonts w:ascii="Calibri" w:hAnsi="Calibri"/>
        <w:color w:val="1F5F52"/>
        <w:sz w:val="16"/>
        <w: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pPr>
    <w:qFormat/>
    <w:rPr>
      <w:rFonts w:ascii="Calibri" w:cs="Calibri" w:hAnsi="Calibri"/>
      <w:color w:val="1A1A1A"/>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jc w:val="center"/>
    </w:pPr>
    <w:rPr>
      <w:rFonts w:ascii="Cambria" w:cs="Cambria" w:hAnsi="Cambria"/>
      <w:b/>
      <w:color w:val="1F5F52"/>
      <w:sz w:val="60"/>
      <w:szCs w:val="60"/>
      <w:spacing w:val="-10"/>
    </w:rPr>
  </w:style>
  <w:style w:styleId="Subtitle" w:type="paragraph">
    <w:name w:val="Subtitle"/>
    <w:basedOn w:val="Title"/>
    <w:next w:val="BodyText"/>
    <w:qFormat/>
    <w:pPr>
      <w:keepNext/>
      <w:keepLines/>
      <w:spacing w:after="360"/>
      <w:jc w:val="center"/>
    </w:pPr>
    <w:rPr>
      <w:rFonts w:ascii="Cambria" w:cs="Cambria" w:hAnsi="Cambria"/>
      <w:b w:val="0"/>
      <w:color w:val="55606A"/>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00"/>
      <w:outlineLvl w:val="0"/>
    </w:pPr>
    <w:rPr>
      <w:rFonts w:ascii="Cambria" w:cs="Cambria" w:hAnsi="Cambria"/>
      <w:b/>
      <w:color w:val="1F5F52"/>
      <w:sz w:val="34"/>
      <w:szCs w:val="34"/>
    </w:rPr>
  </w:style>
  <w:style w:styleId="Heading2" w:type="paragraph">
    <w:name w:val="Heading 2"/>
    <w:basedOn w:val="Normal"/>
    <w:next w:val="BodyText"/>
    <w:uiPriority w:val="9"/>
    <w:unhideWhenUsed/>
    <w:qFormat/>
    <w:pPr>
      <w:keepNext/>
      <w:keepLines/>
      <w:spacing w:after="110" w:before="320"/>
      <w:outlineLvl w:val="1"/>
    </w:pPr>
    <w:rPr>
      <w:rFonts w:ascii="Cambria" w:cs="Cambria" w:hAnsi="Cambria"/>
      <w:b/>
      <w:color w:val="1A1A1A"/>
      <w:sz w:val="27"/>
      <w:szCs w:val="27"/>
    </w:rPr>
  </w:style>
  <w:style w:styleId="Heading3" w:type="paragraph">
    <w:name w:val="Heading 3"/>
    <w:basedOn w:val="Normal"/>
    <w:next w:val="BodyText"/>
    <w:uiPriority w:val="9"/>
    <w:unhideWhenUsed/>
    <w:qFormat/>
    <w:pPr>
      <w:keepNext/>
      <w:keepLines/>
      <w:spacing w:after="90" w:before="260"/>
      <w:outlineLvl w:val="2"/>
    </w:pPr>
    <w:rPr>
      <w:rFonts w:ascii="Calibri" w:cs="Calibri" w:hAnsi="Calibri"/>
      <w:b/>
      <w:color w:val="1F5F52"/>
      <w:sz w:val="23"/>
      <w:szCs w:val="23"/>
    </w:rPr>
  </w:style>
  <w:style w:styleId="Heading4" w:type="paragraph">
    <w:name w:val="Heading 4"/>
    <w:basedOn w:val="Normal"/>
    <w:next w:val="BodyText"/>
    <w:uiPriority w:val="9"/>
    <w:unhideWhenUsed/>
    <w:qFormat/>
    <w:pPr>
      <w:keepNext/>
      <w:keepLines/>
      <w:spacing w:after="80" w:before="220"/>
      <w:outlineLvl w:val="3"/>
    </w:pPr>
    <w:rPr>
      <w:rFonts w:ascii="Calibri" w:cs="Calibri" w:hAnsi="Calibri"/>
      <w:b/>
      <w:color w:val="55606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color w:val="55606A"/>
      <w:sz w:val="21"/>
      <w:szCs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40" w:before="40"/>
    </w:pPr>
    <w:rPr>
      <w:rFonts w:ascii="Calibri" w:hAnsi="Calibri"/>
      <w:sz w:val="19"/>
    </w:rPr>
    <w:tblPr>
      <w:tblBorders>
        <w:top w:color="C9D2D6" w:sz="4" w:val="single"/>
        <w:bottom w:color="C9D2D6" w:sz="4" w:val="single"/>
        <w:insideH w:color="DDE3E6" w:sz="2" w:val="single"/>
      </w:tblBorders>
    </w:tblPr>
    <w:tblStylePr w:type="firstRow">
      <w:rPr>
        <w:b/>
        <w:color w:val="1F5F52"/>
        <w:sz w:val="17"/>
      </w:rPr>
      <w:tblPr/>
      <w:tcPr>
        <w:shd w:color="auto" w:fill="EDF2F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7A3E12"/>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Specification</dc:title>
  <dc:creator/>
  <cp:keywords/>
  <dcterms:created xsi:type="dcterms:W3CDTF">2026-08-31T02:46:49Z</dcterms:created>
  <dcterms:modified xsi:type="dcterms:W3CDTF">2026-08-31T02:46:49Z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Work Automation, Clean Code &amp; Software Quality Engineering — Canadian Edition 2025</vt:lpwstr>
  </property>
</Properties>
</file>