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Program</w:t>
      </w:r>
      <w:r>
        <w:t xml:space="preserve"> </w:t>
      </w:r>
      <w:r>
        <w:t xml:space="preserve">Design</w:t>
      </w:r>
      <w:r>
        <w:t xml:space="preserve"> </w:t>
      </w:r>
      <w:r>
        <w:t xml:space="preserve">—</w:t>
      </w:r>
      <w:r>
        <w:t xml:space="preserve"> </w:t>
      </w:r>
      <w:r>
        <w:t xml:space="preserve">The</w:t>
      </w:r>
      <w:r>
        <w:t xml:space="preserve"> </w:t>
      </w:r>
      <w:r>
        <w:t xml:space="preserve">Project</w:t>
      </w:r>
      <w:r>
        <w:t xml:space="preserve"> </w:t>
      </w:r>
      <w:r>
        <w:t xml:space="preserve">Spine</w:t>
      </w:r>
    </w:p>
    <w:p>
      <w:pPr>
        <w:pStyle w:val="Subtitle"/>
      </w:pPr>
      <w:r>
        <w:t xml:space="preserve">Project</w:t>
      </w:r>
      <w:r>
        <w:t xml:space="preserve"> </w:t>
      </w:r>
      <w:r>
        <w:t xml:space="preserve">Work</w:t>
      </w:r>
      <w:r>
        <w:t xml:space="preserve"> </w:t>
      </w:r>
      <w:r>
        <w:t xml:space="preserve">Automation,</w:t>
      </w:r>
      <w:r>
        <w:t xml:space="preserve"> </w:t>
      </w:r>
      <w:r>
        <w:t xml:space="preserve">Clean</w:t>
      </w:r>
      <w:r>
        <w:t xml:space="preserve"> </w:t>
      </w:r>
      <w:r>
        <w:t xml:space="preserve">Code</w:t>
      </w:r>
      <w:r>
        <w:t xml:space="preserve"> </w:t>
      </w:r>
      <w:r>
        <w:t xml:space="preserve">&amp;</w:t>
      </w:r>
      <w:r>
        <w:t xml:space="preserve"> </w:t>
      </w:r>
      <w:r>
        <w:t xml:space="preserve">Software</w:t>
      </w:r>
      <w:r>
        <w:t xml:space="preserve"> </w:t>
      </w:r>
      <w:r>
        <w:t xml:space="preserve">Quality</w:t>
      </w:r>
      <w:r>
        <w:t xml:space="preserve"> </w:t>
      </w:r>
      <w:r>
        <w:t xml:space="preserve">Engineering</w:t>
      </w:r>
      <w:r>
        <w:t xml:space="preserve"> </w:t>
      </w:r>
      <w:r>
        <w:t xml:space="preserve">—</w:t>
      </w:r>
      <w:r>
        <w:t xml:space="preserve"> </w:t>
      </w:r>
      <w:r>
        <w:t xml:space="preserve">Canadian</w:t>
      </w:r>
      <w:r>
        <w:t xml:space="preserve"> </w:t>
      </w:r>
      <w:r>
        <w:t xml:space="preserve">Edition</w:t>
      </w:r>
      <w:r>
        <w:t xml:space="preserve"> </w:t>
      </w:r>
      <w:r>
        <w:t xml:space="preserve">2025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Cs/>
          <w:b/>
        </w:rPr>
        <w:t xml:space="preserve">Two things sit outside the spine, deliberately.</w:t>
      </w:r>
      <w:r>
        <w:t xml:space="preserve"> </w:t>
      </w:r>
      <w:r>
        <w:rPr>
          <w:bCs/>
          <w:b/>
        </w:rPr>
        <w:t xml:space="preserve">Week 0</w:t>
      </w:r>
      <w:r>
        <w:t xml:space="preserve"> </w:t>
      </w:r>
      <w:r>
        <w:t xml:space="preserve">precedes it —</w:t>
      </w:r>
      <w:r>
        <w:t xml:space="preserve"> </w:t>
      </w:r>
      <w:r>
        <w:t xml:space="preserve">setup, self-paced, not part of the sixty hours.</w:t>
      </w:r>
      <w:r>
        <w:t xml:space="preserve"> </w:t>
      </w:r>
      <w:r>
        <w:rPr>
          <w:bCs/>
          <w:b/>
        </w:rPr>
        <w:t xml:space="preserve">Week 5</w:t>
      </w:r>
      <w:r>
        <w:t xml:space="preserve"> </w:t>
      </w:r>
      <w:r>
        <w:t xml:space="preserve">follows it — turning</w:t>
      </w:r>
      <w:r>
        <w:t xml:space="preserve"> </w:t>
      </w:r>
      <w:r>
        <w:t xml:space="preserve">the Week 4 evidence into a public, verifiable portfolio and credential, also</w:t>
      </w:r>
      <w:r>
        <w:t xml:space="preserve"> </w:t>
      </w:r>
      <w:r>
        <w:t xml:space="preserve">optional and outside the hours. The spine itself is Weeks 1 to 4, and a learner</w:t>
      </w:r>
      <w:r>
        <w:t xml:space="preserve"> </w:t>
      </w:r>
      <w:r>
        <w:t xml:space="preserve">who stops at the Week 4 defence has completed the program.</w:t>
      </w:r>
    </w:p>
    <w:p>
      <w:pPr>
        <w:pStyle w:val="BlockText"/>
      </w:pPr>
      <w:r>
        <w:rPr>
          <w:bCs/>
          <w:b/>
        </w:rPr>
        <w:t xml:space="preserve">The appendices are not weeks, but they are not all reference either.</w:t>
      </w:r>
      <w:r>
        <w:t xml:space="preserve"> </w:t>
      </w:r>
      <w:r>
        <w:t xml:space="preserve">Appendix B — every SOLID principle in four languages — is reference: look</w:t>
      </w:r>
      <w:r>
        <w:t xml:space="preserve"> </w:t>
      </w:r>
      <w:r>
        <w:t xml:space="preserve">things up in it during the four weeks and for years afterwards.</w:t>
      </w:r>
      <w:r>
        <w:t xml:space="preserve"> </w:t>
      </w:r>
      <w:r>
        <w:rPr>
          <w:bCs/>
          <w:b/>
        </w:rPr>
        <w:t xml:space="preserve">Appendix C</w:t>
      </w:r>
      <w:r>
        <w:rPr>
          <w:bCs/>
          <w:b/>
        </w:rPr>
        <w:t xml:space="preserve"> </w:t>
      </w:r>
      <w:r>
        <w:rPr>
          <w:bCs/>
          <w:b/>
        </w:rPr>
        <w:t xml:space="preserve">§C.1 and §C.12 are taught and assessed.</w:t>
      </w:r>
      <w:r>
        <w:t xml:space="preserve"> </w:t>
      </w:r>
      <w:r>
        <w:t xml:space="preserve">§C.1 is the start-to-finish order for</w:t>
      </w:r>
      <w:r>
        <w:t xml:space="preserve"> </w:t>
      </w:r>
      <w:r>
        <w:t xml:space="preserve">automating a project from nothing; §C.12 is how to pick up a tool you have</w:t>
      </w:r>
      <w:r>
        <w:t xml:space="preserve"> </w:t>
      </w:r>
      <w:r>
        <w:t xml:space="preserve">never used. Those two</w:t>
      </w:r>
      <w:r>
        <w:t xml:space="preserve"> </w:t>
      </w:r>
      <w:r>
        <w:rPr>
          <w:iCs/>
          <w:i/>
        </w:rPr>
        <w:t xml:space="preserve">are</w:t>
      </w:r>
      <w:r>
        <w:t xml:space="preserve"> </w:t>
      </w:r>
      <w:r>
        <w:t xml:space="preserve">the program’s stated goal written down, so §C.1</w:t>
      </w:r>
      <w:r>
        <w:t xml:space="preserve"> </w:t>
      </w:r>
      <w:r>
        <w:t xml:space="preserve">opens Week 1 Day 1 before the System Under Test is chosen, §C.12 anchors Week</w:t>
      </w:r>
      <w:r>
        <w:t xml:space="preserve"> </w:t>
      </w:r>
      <w:r>
        <w:t xml:space="preserve">2’s tool work, and the rubric carries a line for the judgement they teach. The</w:t>
      </w:r>
      <w:r>
        <w:t xml:space="preserve"> </w:t>
      </w:r>
      <w:r>
        <w:t xml:space="preserve">rest of Appendix C remains reference, organised by category.</w:t>
      </w:r>
    </w:p>
    <w:bookmarkStart w:id="20" w:name="the-principle"/>
    <w:p>
      <w:pPr>
        <w:pStyle w:val="Heading1"/>
      </w:pPr>
      <w:r>
        <w:t xml:space="preserve">The principle</w:t>
      </w:r>
    </w:p>
    <w:p>
      <w:pPr>
        <w:pStyle w:val="BlockText"/>
      </w:pPr>
      <w:r>
        <w:t xml:space="preserve">Break the work into building blocks. Each block stands on the one before it. At the end you are not building — you are assembling what you already have and arguing for it.</w:t>
      </w:r>
    </w:p>
    <w:p>
      <w:pPr>
        <w:pStyle w:val="FirstParagraph"/>
      </w:pPr>
      <w:r>
        <w:t xml:space="preserve">This document makes that principle structural rather than aspirational. It is the design constraint every reader, workbook and instructor guide must satisfy.</w:t>
      </w:r>
    </w:p>
    <w:p>
      <w:r>
        <w:pict>
          <v:rect style="width:0;height:1.5pt" o:hralign="center" o:hrstd="t" o:hr="t"/>
        </w:pict>
      </w:r>
    </w:p>
    <w:bookmarkEnd w:id="20"/>
    <w:bookmarkStart w:id="21" w:name="week-0-before-the-spine-starts"/>
    <w:p>
      <w:pPr>
        <w:pStyle w:val="Heading1"/>
      </w:pPr>
      <w:r>
        <w:t xml:space="preserve">Week 0 — before the spine starts</w:t>
      </w:r>
    </w:p>
    <w:p>
      <w:pPr>
        <w:pStyle w:val="FirstParagraph"/>
      </w:pPr>
      <w:r>
        <w:rPr>
          <w:bCs/>
          <w:b/>
        </w:rPr>
        <w:t xml:space="preserve">Self-paced, outside the sixty contact hours.</w:t>
      </w:r>
      <w:r>
        <w:t xml:space="preserve"> </w:t>
      </w:r>
      <w:r>
        <w:t xml:space="preserve">Accounts, toolchain, Docker, CI,</w:t>
      </w:r>
      <w:r>
        <w:t xml:space="preserve"> </w:t>
      </w:r>
      <w:r>
        <w:t xml:space="preserve">static analysis, and the working repository created from the starter. It ends in</w:t>
      </w:r>
      <w:r>
        <w:t xml:space="preserve"> </w:t>
      </w:r>
      <w:r>
        <w:t xml:space="preserve">a verification script rather than an assessment.</w:t>
      </w:r>
    </w:p>
    <w:p>
      <w:pPr>
        <w:pStyle w:val="BodyText"/>
      </w:pPr>
      <w:r>
        <w:t xml:space="preserve">It is not part of the spine — nothing is produced that a later week consumes —</w:t>
      </w:r>
      <w:r>
        <w:t xml:space="preserve"> </w:t>
      </w:r>
      <w:r>
        <w:t xml:space="preserve">but it is a hard precondition for it.</w:t>
      </w:r>
      <w:r>
        <w:t xml:space="preserve"> </w:t>
      </w:r>
      <w:r>
        <w:rPr>
          <w:bCs/>
          <w:b/>
        </w:rPr>
        <w:t xml:space="preserve">The Day 1 decision below cannot happen in</w:t>
      </w:r>
      <w:r>
        <w:rPr>
          <w:bCs/>
          <w:b/>
        </w:rPr>
        <w:t xml:space="preserve"> </w:t>
      </w:r>
      <w:r>
        <w:rPr>
          <w:bCs/>
          <w:b/>
        </w:rPr>
        <w:t xml:space="preserve">its first 45 minutes if the room is still installing JDKs</w:t>
      </w:r>
      <w:r>
        <w:t xml:space="preserve">, and Day 1 is where</w:t>
      </w:r>
      <w:r>
        <w:t xml:space="preserve"> </w:t>
      </w:r>
      <w:r>
        <w:t xml:space="preserve">the entire four-week dependency chain is established.</w:t>
      </w:r>
    </w:p>
    <w:p>
      <w:r>
        <w:pict>
          <v:rect style="width:0;height:1.5pt" o:hralign="center" o:hrstd="t" o:hr="t"/>
        </w:pict>
      </w:r>
    </w:p>
    <w:bookmarkEnd w:id="21"/>
    <w:bookmarkStart w:id="22" w:name="the-spine"/>
    <w:p>
      <w:pPr>
        <w:pStyle w:val="Heading1"/>
      </w:pPr>
      <w:r>
        <w:t xml:space="preserve">The spine</w:t>
      </w:r>
    </w:p>
    <w:p>
      <w:pPr>
        <w:pStyle w:val="SourceCode"/>
      </w:pPr>
      <w:r>
        <w:rPr>
          <w:rStyle w:val="VerbatimChar"/>
        </w:rPr>
        <w:t xml:space="preserve">                     ONE SYSTEM UNDER TEST · ONE REPOSITORY</w:t>
      </w:r>
      <w:r>
        <w:br/>
      </w:r>
      <w:r>
        <w:br/>
      </w:r>
      <w:r>
        <w:rPr>
          <w:rStyle w:val="VerbatimChar"/>
        </w:rPr>
        <w:t xml:space="preserve">WEEK 1                WEEK 2                WEEK 3                WEEK 4</w:t>
      </w:r>
      <w:r>
        <w:br/>
      </w:r>
      <w:r>
        <w:rPr>
          <w:rStyle w:val="VerbatimChar"/>
        </w:rPr>
        <w:t xml:space="preserve">Make it               Make it               Make it               Assemble</w:t>
      </w:r>
      <w:r>
        <w:br/>
      </w:r>
      <w:r>
        <w:rPr>
          <w:rStyle w:val="VerbatimChar"/>
        </w:rPr>
        <w:t xml:space="preserve">testable              verifiable            trustworthy           and defend</w:t>
      </w:r>
      <w:r>
        <w:br/>
      </w:r>
      <w:r>
        <w:rPr>
          <w:rStyle w:val="VerbatimChar"/>
        </w:rPr>
        <w:t xml:space="preserve">   │                     │                     │                     │</w:t>
      </w:r>
      <w:r>
        <w:br/>
      </w:r>
      <w:r>
        <w:rPr>
          <w:rStyle w:val="VerbatimChar"/>
        </w:rPr>
        <w:t xml:space="preserve">   ├─ acceptance         ├─ integration        ├─ load &amp; stress      ├─ deploy + smoke</w:t>
      </w:r>
      <w:r>
        <w:br/>
      </w:r>
      <w:r>
        <w:rPr>
          <w:rStyle w:val="VerbatimChar"/>
        </w:rPr>
        <w:t xml:space="preserve">   │  criteria           │  tests              │  stage              │  stage</w:t>
      </w:r>
      <w:r>
        <w:br/>
      </w:r>
      <w:r>
        <w:rPr>
          <w:rStyle w:val="VerbatimChar"/>
        </w:rPr>
        <w:t xml:space="preserve">   ├─ unit tests         ├─ E2E tests          ├─ security stage     ├─ metrics report</w:t>
      </w:r>
      <w:r>
        <w:br/>
      </w:r>
      <w:r>
        <w:rPr>
          <w:rStyle w:val="VerbatimChar"/>
        </w:rPr>
        <w:t xml:space="preserve">   ├─ SOLID refactor     ├─ framework          ├─ accessibility      ├─ quality narrative</w:t>
      </w:r>
      <w:r>
        <w:br/>
      </w:r>
      <w:r>
        <w:rPr>
          <w:rStyle w:val="VerbatimChar"/>
        </w:rPr>
        <w:t xml:space="preserve">   └─ coverage           │  layers             │  stage              └─ 15-min defence</w:t>
      </w:r>
      <w:r>
        <w:br/>
      </w:r>
      <w:r>
        <w:rPr>
          <w:rStyle w:val="VerbatimChar"/>
        </w:rPr>
        <w:t xml:space="preserve">      baseline           ├─ static analysis    ├─ thresholds</w:t>
      </w:r>
      <w:r>
        <w:br/>
      </w:r>
      <w:r>
        <w:rPr>
          <w:rStyle w:val="VerbatimChar"/>
        </w:rPr>
        <w:t xml:space="preserve">                         └─ CI pipeline        │  as code</w:t>
      </w:r>
      <w:r>
        <w:br/>
      </w:r>
      <w:r>
        <w:rPr>
          <w:rStyle w:val="VerbatimChar"/>
        </w:rPr>
        <w:t xml:space="preserve">                                               └─ dashboards</w:t>
      </w:r>
      <w:r>
        <w:br/>
      </w:r>
      <w:r>
        <w:rPr>
          <w:rStyle w:val="VerbatimChar"/>
        </w:rPr>
        <w:t xml:space="preserve">   │                     │                     │                     │</w:t>
      </w:r>
      <w:r>
        <w:br/>
      </w:r>
      <w:r>
        <w:rPr>
          <w:rStyle w:val="VerbatimChar"/>
        </w:rPr>
        <w:t xml:space="preserve">   ▼                     ▼                     ▼                     ▼</w:t>
      </w:r>
      <w:r>
        <w:br/>
      </w:r>
      <w:r>
        <w:rPr>
          <w:rStyle w:val="VerbatimChar"/>
        </w:rPr>
        <w:t xml:space="preserve">A testable            A pipeline that       Gates across          Evidence you</w:t>
      </w:r>
      <w:r>
        <w:br/>
      </w:r>
      <w:r>
        <w:rPr>
          <w:rStyle w:val="VerbatimChar"/>
        </w:rPr>
        <w:t xml:space="preserve">system with            proves functional     every quality         can argue</w:t>
      </w:r>
      <w:r>
        <w:br/>
      </w:r>
      <w:r>
        <w:rPr>
          <w:rStyle w:val="VerbatimChar"/>
        </w:rPr>
        <w:t xml:space="preserve">criteria               correctness           attribute             from</w:t>
      </w:r>
    </w:p>
    <w:p>
      <w:pPr>
        <w:pStyle w:val="FirstParagraph"/>
      </w:pPr>
      <w:r>
        <w:t xml:space="preserve">Each arrow is a hard dependency. Week 2 cannot start without Week 1’s output. Week 4 adds almost no new technique — it integrates, hardens and defends.</w:t>
      </w:r>
    </w:p>
    <w:p>
      <w:r>
        <w:pict>
          <v:rect style="width:0;height:1.5pt" o:hralign="center" o:hrstd="t" o:hr="t"/>
        </w:pict>
      </w:r>
    </w:p>
    <w:bookmarkEnd w:id="22"/>
    <w:bookmarkStart w:id="24" w:name="X9e7fdefe800f3418915b9ff40223060b8c5b7c9"/>
    <w:p>
      <w:pPr>
        <w:pStyle w:val="Heading1"/>
      </w:pPr>
      <w:r>
        <w:t xml:space="preserve">The Day 1 Decision — what makes the spine work</w:t>
      </w:r>
    </w:p>
    <w:p>
      <w:pPr>
        <w:pStyle w:val="FirstParagraph"/>
      </w:pPr>
      <w:r>
        <w:rPr>
          <w:bCs/>
          <w:b/>
        </w:rPr>
        <w:t xml:space="preserve">Timing: Week 1, Day 1, first 45 minutes.</w:t>
      </w:r>
      <w:r>
        <w:t xml:space="preserve"> </w:t>
      </w:r>
      <w:r>
        <w:t xml:space="preserve">Before any Clean Code content.</w:t>
      </w:r>
    </w:p>
    <w:p>
      <w:pPr>
        <w:pStyle w:val="BodyText"/>
      </w:pPr>
      <w:r>
        <w:t xml:space="preserve">The SUT must survive four weeks, not one. That means stricter criteria than a one-week capstone toy: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Fails 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Has an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2 integration and contract tests need 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UI-only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Has a UI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2 E2E, Week 3 accessibility need 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Headless library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Has persistence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2 database integration testing needs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Stateless calculator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Runs in a 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2 CI and Week 3 load testing need a deployable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manual setup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 plausibly be slow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3 needs something to measure and tune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Trivial in-memory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 plausibly be insecure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3 needs findings to triage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auth, no input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Small enough to reason about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Learners must hold it in their heads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monolith</w:t>
            </w:r>
          </w:p>
        </w:tc>
      </w:tr>
    </w:tbl>
    <w:p>
      <w:pPr>
        <w:pStyle w:val="BodyText"/>
      </w:pPr>
      <w:r>
        <w:t xml:space="preserve">Two-line rule of thumb:</w:t>
      </w:r>
      <w:r>
        <w:t xml:space="preserve"> </w:t>
      </w:r>
      <w:r>
        <w:rPr>
          <w:bCs/>
          <w:b/>
        </w:rPr>
        <w:t xml:space="preserve">if you cannot imagine it failing a load test, it is too simple. If you cannot read all of it in an afternoon, it is too big.</w:t>
      </w:r>
    </w:p>
    <w:bookmarkStart w:id="23" w:name="the-reference-sut"/>
    <w:p>
      <w:pPr>
        <w:pStyle w:val="Heading2"/>
      </w:pPr>
      <w:r>
        <w:t xml:space="preserve">The reference SUT</w:t>
      </w:r>
    </w:p>
    <w:p>
      <w:pPr>
        <w:pStyle w:val="FirstParagraph"/>
      </w:pPr>
      <w:r>
        <w:t xml:space="preserve">The program supplies a reference system that satisfies every criterion, for three purposes: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Safety net</w:t>
      </w:r>
      <w:r>
        <w:t xml:space="preserve"> </w:t>
      </w:r>
      <w:r>
        <w:t xml:space="preserve">— a learner whose own choice collapses in Week 3 switches to the reference without losing the course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Instructor demonstrations</w:t>
      </w:r>
      <w:r>
        <w:t xml:space="preserve"> </w:t>
      </w:r>
      <w:r>
        <w:t xml:space="preserve">— every worked example in every week uses it, so demos compound the same way learner projects do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Assessment baseline</w:t>
      </w:r>
      <w:r>
        <w:t xml:space="preserve"> </w:t>
      </w:r>
      <w:r>
        <w:t xml:space="preserve">— the instructor knows exactly what</w:t>
      </w:r>
      <w:r>
        <w:t xml:space="preserve"> </w:t>
      </w:r>
      <w:r>
        <w:t xml:space="preserve">“</w:t>
      </w:r>
      <w:r>
        <w:t xml:space="preserve">good</w:t>
      </w:r>
      <w:r>
        <w:t xml:space="preserve">”</w:t>
      </w:r>
      <w:r>
        <w:t xml:space="preserve"> </w:t>
      </w:r>
      <w:r>
        <w:t xml:space="preserve">looks like on a known system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starter repository</w:t>
      </w:r>
      <w:r>
        <w:t xml:space="preserve"> </w:t>
      </w:r>
      <w:r>
        <w:t xml:space="preserve">is built — the pipeline, quality-gate configuration,</w:t>
      </w:r>
      <w:r>
        <w:t xml:space="preserve"> </w:t>
      </w:r>
      <w:r>
        <w:t xml:space="preserve">framework skeleton and document templates that every learner begins from. What</w:t>
      </w:r>
      <w:r>
        <w:t xml:space="preserve"> </w:t>
      </w:r>
      <w:r>
        <w:t xml:space="preserve">remains is the reference</w:t>
      </w:r>
      <w:r>
        <w:t xml:space="preserve"> </w:t>
      </w:r>
      <w:r>
        <w:rPr>
          <w:iCs/>
          <w:i/>
        </w:rPr>
        <w:t xml:space="preserve">system</w:t>
      </w:r>
      <w:r>
        <w:t xml:space="preserve"> </w:t>
      </w:r>
      <w:r>
        <w:t xml:space="preserve">that runs inside it.</w:t>
      </w:r>
    </w:p>
    <w:p>
      <w:pPr>
        <w:pStyle w:val="BodyText"/>
      </w:pPr>
      <w:r>
        <w:t xml:space="preserve">Recommended shape: a small service with a REST API, a persistence layer, a minimal web UI, a Dockerfile, and</w:t>
      </w:r>
      <w:r>
        <w:t xml:space="preserve"> </w:t>
      </w:r>
      <w:r>
        <w:rPr>
          <w:bCs/>
          <w:b/>
        </w:rPr>
        <w:t xml:space="preserve">deliberately planted weaknesses</w:t>
      </w:r>
      <w:r>
        <w:t xml:space="preserve"> </w:t>
      </w:r>
      <w:r>
        <w:t xml:space="preserve">— an N+1 query, an unindexed lookup, a missing rate limit, a form control without a label. Learners find these in Week 3. They are the reason Week 3 has anything to discover.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week-1-make-it-testable"/>
    <w:p>
      <w:pPr>
        <w:pStyle w:val="Heading1"/>
      </w:pPr>
      <w:r>
        <w:t xml:space="preserve">Week 1 — Make it testable</w:t>
      </w:r>
    </w:p>
    <w:p>
      <w:pPr>
        <w:pStyle w:val="FirstParagraph"/>
      </w:pPr>
      <w:r>
        <w:rPr>
          <w:bCs/>
          <w:b/>
        </w:rPr>
        <w:t xml:space="preserve">Block produced: a testable system with criteria you can test against.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— this is the foundation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 in three-clause prose · unit test suite driven by TDD · SOLID refactor · coverage measurement · a Git repository with branch discipline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Carry-forward artifacts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repo/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with a green unit suite ·</w:t>
            </w:r>
            <w:r>
              <w:t xml:space="preserve"> </w:t>
            </w:r>
            <w:r>
              <w:rPr>
                <w:rStyle w:val="VerbatimChar"/>
              </w:rPr>
              <w:t xml:space="preserve">docs/acceptance-criteria.md</w:t>
            </w:r>
            <w:r>
              <w:t xml:space="preserve"> </w:t>
            </w:r>
            <w:r>
              <w:t xml:space="preserve">· a coverage report with a recorded baseline number ·</w:t>
            </w:r>
            <w:r>
              <w:t xml:space="preserve"> </w:t>
            </w:r>
            <w:r>
              <w:rPr>
                <w:rStyle w:val="VerbatimChar"/>
              </w:rPr>
              <w:t xml:space="preserve">docs/refactor-log.md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Exit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unit tests green · coverage</w:t>
            </w:r>
            <w:r>
              <w:t xml:space="preserve"> </w:t>
            </w:r>
            <w:r>
              <w:rPr>
                <w:bCs/>
                <w:b/>
              </w:rPr>
              <w:t xml:space="preserve">measured and recorded</w:t>
            </w:r>
            <w:r>
              <w:t xml:space="preserve"> </w:t>
            </w:r>
            <w:r>
              <w:t xml:space="preserve">(not yet a threshold) ·</w:t>
            </w:r>
            <w:r>
              <w:t xml:space="preserve"> </w:t>
            </w:r>
            <w:r>
              <w:rPr>
                <w:bCs/>
                <w:b/>
              </w:rPr>
              <w:t xml:space="preserve">two</w:t>
            </w:r>
            <w:r>
              <w:t xml:space="preserve"> </w:t>
            </w:r>
            <w:r>
              <w:t xml:space="preserve">documented SOLID refactors with before/after · the traceability template filled in with the gaps visible (full coverage is a Week 2 gate) · three criteria written in three-clause form and mapped to a test layer</w:t>
            </w:r>
          </w:p>
        </w:tc>
      </w:tr>
    </w:tbl>
    <w:p>
      <w:pPr>
        <w:pStyle w:val="BodyText"/>
      </w:pPr>
      <w:r>
        <w:rPr>
          <w:bCs/>
          <w:b/>
        </w:rPr>
        <w:t xml:space="preserve">Deliberate design note.</w:t>
      </w:r>
      <w:r>
        <w:t xml:space="preserve"> </w:t>
      </w:r>
      <w:r>
        <w:t xml:space="preserve">Coverage is</w:t>
      </w:r>
      <w:r>
        <w:t xml:space="preserve"> </w:t>
      </w:r>
      <w:r>
        <w:rPr>
          <w:iCs/>
          <w:i/>
        </w:rPr>
        <w:t xml:space="preserve">measured</w:t>
      </w:r>
      <w:r>
        <w:t xml:space="preserve">, not</w:t>
      </w:r>
      <w:r>
        <w:t xml:space="preserve"> </w:t>
      </w:r>
      <w:r>
        <w:rPr>
          <w:iCs/>
          <w:i/>
        </w:rPr>
        <w:t xml:space="preserve">gated</w:t>
      </w:r>
      <w:r>
        <w:t xml:space="preserve">, in Week 1. The 80% gate arrives in Week 2 when the pipeline exists to enforce it. Introducing a threshold before there is automation to enforce it teaches learners to chase a number by hand — the exact behaviour the program argues against elsewhere.</w:t>
      </w:r>
    </w:p>
    <w:p>
      <w:pPr>
        <w:pStyle w:val="BodyText"/>
      </w:pPr>
      <w:r>
        <w:rPr>
          <w:bCs/>
          <w:b/>
        </w:rPr>
        <w:t xml:space="preserve">Hand-off to Week 2:</w:t>
      </w:r>
      <w:r>
        <w:t xml:space="preserve"> </w:t>
      </w:r>
      <w:r>
        <w:t xml:space="preserve">the acceptance criteria become E2E scenarios. The unit suite becomes the base of the pyramid. The SOLID structure becomes the framework skeleton.</w:t>
      </w:r>
      <w:r>
        <w:t xml:space="preserve"> </w:t>
      </w:r>
      <w:r>
        <w:rPr>
          <w:bCs/>
          <w:b/>
        </w:rPr>
        <w:t xml:space="preserve">Gherkin is deliberately absent from Week 1.</w:t>
      </w:r>
      <w:r>
        <w:t xml:space="preserve"> </w:t>
      </w:r>
      <w:r>
        <w:t xml:space="preserve">It arrives in Week 2, after E2E automation exists for it to wrap and the decision can be made against real code.</w:t>
      </w:r>
    </w:p>
    <w:p>
      <w:r>
        <w:pict>
          <v:rect style="width:0;height:1.5pt" o:hralign="center" o:hrstd="t" o:hr="t"/>
        </w:pict>
      </w:r>
    </w:p>
    <w:bookmarkEnd w:id="25"/>
    <w:bookmarkStart w:id="26" w:name="week-2-make-it-verifiable"/>
    <w:p>
      <w:pPr>
        <w:pStyle w:val="Heading1"/>
      </w:pPr>
      <w:r>
        <w:t xml:space="preserve">Week 2 — Make it verifiable</w:t>
      </w:r>
    </w:p>
    <w:p>
      <w:pPr>
        <w:pStyle w:val="FirstParagraph"/>
      </w:pPr>
      <w:r>
        <w:rPr>
          <w:bCs/>
          <w:b/>
        </w:rPr>
        <w:t xml:space="preserve">Block produced: a pipeline that proves functional correctness.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Requires from Week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 (→ E2E scenarios) · unit suite (→ pyramid base) · SOLID structure (→ framework layers) · the repository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tests (database, messaging, auth, contract) · E2E tests ·</w:t>
            </w:r>
            <w:r>
              <w:t xml:space="preserve"> </w:t>
            </w:r>
            <w:r>
              <w:rPr>
                <w:bCs/>
                <w:b/>
              </w:rPr>
              <w:t xml:space="preserve">the Gherkin decision</w:t>
            </w:r>
            <w:r>
              <w:t xml:space="preserve"> </w:t>
            </w:r>
            <w:r>
              <w:t xml:space="preserve">· framework layers</w:t>
            </w:r>
            <w:r>
              <w:t xml:space="preserve"> </w:t>
            </w:r>
            <w:r>
              <w:rPr>
                <w:rStyle w:val="VerbatimChar"/>
              </w:rPr>
              <w:t xml:space="preserve">base/ pages/ utils/ config/ tests/</w:t>
            </w:r>
            <w:r>
              <w:t xml:space="preserve"> </w:t>
            </w:r>
            <w:r>
              <w:t xml:space="preserve">· static analysis · CI pipeline</w:t>
            </w:r>
            <w:r>
              <w:t xml:space="preserve"> </w:t>
            </w:r>
            <w:r>
              <w:rPr>
                <w:rStyle w:val="VerbatimChar"/>
              </w:rPr>
              <w:t xml:space="preserve">Build → Test → Analyze</w:t>
            </w:r>
            <w:r>
              <w:t xml:space="preserve"> </w:t>
            </w:r>
            <w:r>
              <w:t xml:space="preserve">· quality gates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Carry-forward artifacts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.github/workflows/ci.yml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Jenkinsfile</w:t>
            </w:r>
            <w:r>
              <w:t xml:space="preserve">) · framework directory structure · SonarQube Cloud project with history ·</w:t>
            </w:r>
            <w:r>
              <w:t xml:space="preserve"> </w:t>
            </w:r>
            <w:r>
              <w:rPr>
                <w:rStyle w:val="VerbatimChar"/>
              </w:rPr>
              <w:t xml:space="preserve">docs/framework-architecture.md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docs/test-strategy.md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Exit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green on every push · line coverage</w:t>
            </w:r>
            <w:r>
              <w:t xml:space="preserve"> </w:t>
            </w:r>
            <w:r>
              <w:rPr>
                <w:bCs/>
                <w:b/>
              </w:rPr>
              <w:t xml:space="preserve">≥ 80%</w:t>
            </w:r>
            <w:r>
              <w:t xml:space="preserve"> </w:t>
            </w:r>
            <w:r>
              <w:t xml:space="preserve">enforced as a gate · maintainability</w:t>
            </w:r>
            <w:r>
              <w:t xml:space="preserve"> </w:t>
            </w:r>
            <w:r>
              <w:rPr>
                <w:bCs/>
                <w:b/>
              </w:rPr>
              <w:t xml:space="preserve">Grade A</w:t>
            </w:r>
            <w:r>
              <w:t xml:space="preserve"> </w:t>
            </w:r>
            <w:r>
              <w:t xml:space="preserve">· every Week 1 acceptance criterion covered by a test at the appropriate layer</w:t>
            </w:r>
          </w:p>
        </w:tc>
      </w:tr>
    </w:tbl>
    <w:p>
      <w:pPr>
        <w:pStyle w:val="BodyText"/>
      </w:pPr>
      <w:r>
        <w:rPr>
          <w:bCs/>
          <w:b/>
        </w:rPr>
        <w:t xml:space="preserve">Hand-off to Week 3:</w:t>
      </w:r>
      <w:r>
        <w:t xml:space="preserve"> </w:t>
      </w:r>
      <w:r>
        <w:t xml:space="preserve">the pipeline is the thing new stages bolt onto. The E2E flows become load-test scenarios — you already know the critical user journeys because you automated them. The deployed container becomes the target under load.</w:t>
      </w:r>
    </w:p>
    <w:p>
      <w:r>
        <w:pict>
          <v:rect style="width:0;height:1.5pt" o:hralign="center" o:hrstd="t" o:hr="t"/>
        </w:pict>
      </w:r>
    </w:p>
    <w:bookmarkEnd w:id="26"/>
    <w:bookmarkStart w:id="27" w:name="week-3-make-it-trustworthy"/>
    <w:p>
      <w:pPr>
        <w:pStyle w:val="Heading1"/>
      </w:pPr>
      <w:r>
        <w:t xml:space="preserve">Week 3 — Make it trustworthy</w:t>
      </w:r>
    </w:p>
    <w:p>
      <w:pPr>
        <w:pStyle w:val="FirstParagraph"/>
      </w:pPr>
      <w:r>
        <w:rPr>
          <w:bCs/>
          <w:b/>
        </w:rPr>
        <w:t xml:space="preserve">Block produced: enforced gates across every quality attribute.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Requires from Week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pipeline (→ new stages attach to it) · E2E flows (→ load scenarios) · containerised deployment (→ the target) · framework config layer (→ thresholds)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and stress stage (k6/JMeter) · security stage (ZAP, Snyk) · accessibility stage (axe-core, Lighthouse) · observability (Grafana/Prometheus) · thresholds expressed as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Carry-forward artifacts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pipeline</w:t>
            </w:r>
            <w:r>
              <w:t xml:space="preserve"> </w:t>
            </w:r>
            <w:r>
              <w:rPr>
                <w:rStyle w:val="VerbatimChar"/>
              </w:rPr>
              <w:t xml:space="preserve">Build → Test → Analyze → LoadTest → Security → A11y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docs/NFT-Strategy.md</w:t>
            </w:r>
            <w:r>
              <w:t xml:space="preserve"> </w:t>
            </w:r>
            <w:r>
              <w:t xml:space="preserve">· Grafana dashboard · baseline performance numbers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Exit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p95</w:t>
            </w:r>
            <w:r>
              <w:t xml:space="preserve"> </w:t>
            </w:r>
            <w:r>
              <w:rPr>
                <w:bCs/>
                <w:b/>
              </w:rPr>
              <w:t xml:space="preserve">≤ 500 ms</w:t>
            </w:r>
            <w:r>
              <w:t xml:space="preserve"> </w:t>
            </w:r>
            <w:r>
              <w:t xml:space="preserve">· error rate</w:t>
            </w:r>
            <w:r>
              <w:t xml:space="preserve"> </w:t>
            </w:r>
            <w:r>
              <w:rPr>
                <w:bCs/>
                <w:b/>
              </w:rPr>
              <w:t xml:space="preserve">&lt; 1%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Cs/>
                <w:b/>
              </w:rPr>
              <w:t xml:space="preserve">0 critical and 0 high CVEs</w:t>
            </w:r>
            <w:r>
              <w:t xml:space="preserve"> </w:t>
            </w:r>
            <w:r>
              <w:t xml:space="preserve">· accessibility</w:t>
            </w:r>
            <w:r>
              <w:t xml:space="preserve"> </w:t>
            </w:r>
            <w:r>
              <w:rPr>
                <w:bCs/>
                <w:b/>
              </w:rPr>
              <w:t xml:space="preserve">≥ 95 with 0 critical and 0 serious violations</w:t>
            </w:r>
            <w:r>
              <w:t xml:space="preserve"> </w:t>
            </w:r>
            <w:r>
              <w:t xml:space="preserve">· every threshold enforced by the pipeline, not checked by hand · one documented tuning experiment showing a before/after measurement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tuning experiment is the point of Week 3.</w:t>
      </w:r>
      <w:r>
        <w:t xml:space="preserve"> </w:t>
      </w:r>
      <w:r>
        <w:t xml:space="preserve">Anyone can add a load-test stage. Changing one parameter, re-running, and being able to say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p95 fell from 950 ms to 410 ms when the N+1 query became a JOIN</w:t>
      </w:r>
      <w:r>
        <w:rPr>
          <w:iCs/>
          <w:i/>
        </w:rPr>
        <w:t xml:space="preserve">”</w:t>
      </w:r>
      <w:r>
        <w:t xml:space="preserve"> </w:t>
      </w:r>
      <w:r>
        <w:t xml:space="preserve">is the skill — and it only works because the same system has been under measurement since Week 1.</w:t>
      </w:r>
    </w:p>
    <w:p>
      <w:pPr>
        <w:pStyle w:val="BodyText"/>
      </w:pPr>
      <w:r>
        <w:rPr>
          <w:bCs/>
          <w:b/>
        </w:rPr>
        <w:t xml:space="preserve">Hand-off to Week 4:</w:t>
      </w:r>
      <w:r>
        <w:t xml:space="preserve"> </w:t>
      </w:r>
      <w:r>
        <w:t xml:space="preserve">every gate is green, and there is history — enough runs to show trend rather than a single snapshot.</w:t>
      </w:r>
    </w:p>
    <w:p>
      <w:r>
        <w:pict>
          <v:rect style="width:0;height:1.5pt" o:hralign="center" o:hrstd="t" o:hr="t"/>
        </w:pict>
      </w:r>
    </w:p>
    <w:bookmarkEnd w:id="27"/>
    <w:bookmarkStart w:id="28" w:name="week-4-assemble-and-defend"/>
    <w:p>
      <w:pPr>
        <w:pStyle w:val="Heading1"/>
      </w:pPr>
      <w:r>
        <w:t xml:space="preserve">Week 4 — Assemble and defend</w:t>
      </w:r>
    </w:p>
    <w:p>
      <w:pPr>
        <w:pStyle w:val="FirstParagraph"/>
      </w:pPr>
      <w:r>
        <w:rPr>
          <w:bCs/>
          <w:b/>
        </w:rPr>
        <w:t xml:space="preserve">Block produced: evidence, and the ability to argue from it.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above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Adds — technically almost nothing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 → Smoke</w:t>
            </w:r>
            <w:r>
              <w:t xml:space="preserve"> </w:t>
            </w:r>
            <w:r>
              <w:t xml:space="preserve">stages · consolidated reporting · the metrics report · the narrative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Carry-forward artifacts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repository · full pipeline</w:t>
            </w:r>
            <w:r>
              <w:t xml:space="preserve"> </w:t>
            </w:r>
            <w:r>
              <w:rPr>
                <w:rStyle w:val="VerbatimChar"/>
              </w:rPr>
              <w:t xml:space="preserve">Build → Test → Analyze → LoadTest → Security → A11y → Deploy → Smoke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docs/metrics-report.md</w:t>
            </w:r>
            <w:r>
              <w:t xml:space="preserve"> </w:t>
            </w:r>
            <w:r>
              <w:t xml:space="preserve">· 15-minute defence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Exit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pipeline green end to end · metrics report showing</w:t>
            </w:r>
            <w:r>
              <w:t xml:space="preserve"> </w:t>
            </w:r>
            <w:r>
              <w:rPr>
                <w:bCs/>
                <w:b/>
              </w:rPr>
              <w:t xml:space="preserve">change over four weeks</w:t>
            </w:r>
            <w:r>
              <w:t xml:space="preserve">, not a single reading · defence delivered and questioned</w:t>
            </w:r>
          </w:p>
        </w:tc>
      </w:tr>
    </w:tbl>
    <w:p>
      <w:pPr>
        <w:pStyle w:val="BodyText"/>
      </w:pPr>
      <w:r>
        <w:rPr>
          <w:bCs/>
          <w:b/>
        </w:rPr>
        <w:t xml:space="preserve">What Week 4 is not.</w:t>
      </w:r>
      <w:r>
        <w:t xml:space="preserve"> </w:t>
      </w:r>
      <w:r>
        <w:t xml:space="preserve">It is not a new project, a fresh SUT, or five days of building. If a learner arrives at Week 4 with nothing to assemble, the failure happened in Weeks 1–3 and should have been caught at an exit gate.</w:t>
      </w:r>
    </w:p>
    <w:p>
      <w:pPr>
        <w:pStyle w:val="BodyText"/>
      </w:pPr>
      <w:r>
        <w:rPr>
          <w:bCs/>
          <w:b/>
        </w:rPr>
        <w:t xml:space="preserve">What replaces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choose an SUT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in Week 4:</w:t>
      </w:r>
      <w:r>
        <w:t xml:space="preserve"> </w:t>
      </w:r>
      <w:r>
        <w:t xml:space="preserve">a hardening and evidence phase.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Days 1–2 — Close the gaps.</w:t>
      </w:r>
      <w:r>
        <w:t xml:space="preserve"> </w:t>
      </w:r>
      <w:r>
        <w:t xml:space="preserve">Every gate that is amber. Every acceptance criterion without coverage. Every deferred item in the refactor log.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Day 3 — Complete the pipeline.</w:t>
      </w:r>
      <w:r>
        <w:t xml:space="preserve"> </w:t>
      </w:r>
      <w:r>
        <w:t xml:space="preserve">Deploy and smoke stages; the full chain green in one run.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Day 4 — Build the evidence.</w:t>
      </w:r>
      <w:r>
        <w:t xml:space="preserve"> </w:t>
      </w:r>
      <w:r>
        <w:t xml:space="preserve">The metrics report is a</w:t>
      </w:r>
      <w:r>
        <w:t xml:space="preserve"> </w:t>
      </w:r>
      <w:r>
        <w:rPr>
          <w:iCs/>
          <w:i/>
        </w:rPr>
        <w:t xml:space="preserve">four-week trend</w:t>
      </w:r>
      <w:r>
        <w:t xml:space="preserve">: coverage Week 1 → Week 4, p95 before and after tuning, CVEs found and closed, accessibility violations remediated. This is only possible because it is the same system throughout.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Day 5 — Defend.</w:t>
      </w:r>
      <w:r>
        <w:t xml:space="preserve"> </w:t>
      </w:r>
      <w:r>
        <w:t xml:space="preserve">15-minute presentation plus questions, following the narrative arc already taught: Context → Method → Evidence → Insight → Action.</w:t>
      </w:r>
    </w:p>
    <w:p>
      <w:r>
        <w:pict>
          <v:rect style="width:0;height:1.5pt" o:hralign="center" o:hrstd="t" o:hr="t"/>
        </w:pict>
      </w:r>
    </w:p>
    <w:bookmarkEnd w:id="28"/>
    <w:bookmarkStart w:id="29" w:name="Xcf905433bd3962af5bc0df4aac746ed5bc41992"/>
    <w:p>
      <w:pPr>
        <w:pStyle w:val="Heading1"/>
      </w:pPr>
      <w:r>
        <w:t xml:space="preserve">Dependency chain — the compounding made explicit</w:t>
      </w:r>
    </w:p>
    <w:p>
      <w:pPr>
        <w:pStyle w:val="FirstParagraph"/>
      </w:pPr>
      <w:r>
        <w:t xml:space="preserve">Every row is a Week N output that a later week consumes.</w:t>
      </w:r>
      <w:r>
        <w:t xml:space="preserve"> </w:t>
      </w:r>
      <w:r>
        <w:rPr>
          <w:bCs/>
          <w:b/>
        </w:rPr>
        <w:t xml:space="preserve">If a row is missing, the dependent work cannot proceed.</w:t>
      </w:r>
      <w:r>
        <w:t xml:space="preserve"> </w:t>
      </w:r>
      <w:r>
        <w:t xml:space="preserve">This table is the enforcement mechanism.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Produced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Under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2, 3, 4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2, 3, 4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single 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 — three-clause prose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 scenario derivation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suite driven by TDD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of the testing pyramid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Coverage-of-requirements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 refactor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layer boundaries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gate, and the four-week trend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docs/test-strategy.md</w:t>
            </w:r>
            <w:r>
              <w:t xml:space="preserve"> </w:t>
            </w:r>
            <w:r>
              <w:t xml:space="preserve">— the Gherkin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the framework carries a specification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layers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thresholds and configs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 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Load-test scenario derivation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new stages attach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Containerised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2, 3, 4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 exit gate 2 —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the blocking one</w:t>
            </w:r>
            <w:r>
              <w:rPr>
                <w:iCs/>
                <w:i/>
              </w:rPr>
              <w:t xml:space="preserve">”</w:t>
            </w:r>
            <w:r>
              <w:t xml:space="preserve">. Week 2 verifies it on Day 0; Week 3 puts it under load; Week 4 deploys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analysis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Maintainability trend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Before/after in the metrics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findings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Triage-and-close narrative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Accessibility findings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Remediation narrative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chain that Deploy and Smoke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evidence in the defence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the-carry-forward-ledger"/>
    <w:p>
      <w:pPr>
        <w:pStyle w:val="Heading1"/>
      </w:pPr>
      <w:r>
        <w:t xml:space="preserve">The Carry-Forward Ledger</w:t>
      </w:r>
    </w:p>
    <w:p>
      <w:pPr>
        <w:pStyle w:val="FirstParagraph"/>
      </w:pPr>
      <w:r>
        <w:t xml:space="preserve">A single page, updated at the end of every week. Its job is to make compounding</w:t>
      </w:r>
      <w:r>
        <w:t xml:space="preserve"> </w:t>
      </w:r>
      <w:r>
        <w:rPr>
          <w:bCs/>
          <w:b/>
        </w:rPr>
        <w:t xml:space="preserve">visible to the learner</w:t>
      </w:r>
      <w:r>
        <w:t xml:space="preserve"> </w:t>
      </w:r>
      <w:r>
        <w:t xml:space="preserve">— so the program is experienced as one accumulating</w:t>
      </w:r>
      <w:r>
        <w:t xml:space="preserve"> </w:t>
      </w:r>
      <w:r>
        <w:t xml:space="preserve">thing rather than four disconnected topics.</w:t>
      </w:r>
    </w:p>
    <w:p>
      <w:pPr>
        <w:pStyle w:val="BlockText"/>
      </w:pPr>
      <w:r>
        <w:rPr>
          <w:bCs/>
          <w:b/>
        </w:rPr>
        <w:t xml:space="preserve">One canonical copy.</w:t>
      </w:r>
      <w:r>
        <w:t xml:space="preserve"> </w:t>
      </w:r>
      <w:r>
        <w:t xml:space="preserve">The ledger lives at</w:t>
      </w:r>
      <w:r>
        <w:t xml:space="preserve"> </w:t>
      </w:r>
      <w:r>
        <w:rPr>
          <w:rStyle w:val="VerbatimChar"/>
        </w:rPr>
        <w:t xml:space="preserve">docs/carry-forward-ledger.md</w:t>
      </w:r>
      <w:r>
        <w:t xml:space="preserve"> </w:t>
      </w:r>
      <w:r>
        <w:t xml:space="preserve">in</w:t>
      </w:r>
      <w:r>
        <w:t xml:space="preserve"> </w:t>
      </w:r>
      <w:r>
        <w:t xml:space="preserve">the learner’s own repository, versioned alongside the work it records, and is</w:t>
      </w:r>
      <w:r>
        <w:t xml:space="preserve"> </w:t>
      </w:r>
      <w:r>
        <w:t xml:space="preserve">supplied as a printable document in the learner materials. Everything below is</w:t>
      </w:r>
      <w:r>
        <w:t xml:space="preserve"> </w:t>
      </w:r>
      <w:r>
        <w:t xml:space="preserve">an</w:t>
      </w:r>
      <w:r>
        <w:t xml:space="preserve"> </w:t>
      </w:r>
      <w:r>
        <w:rPr>
          <w:bCs/>
          <w:b/>
        </w:rPr>
        <w:t xml:space="preserve">excerpt</w:t>
      </w:r>
      <w:r>
        <w:t xml:space="preserve"> </w:t>
      </w:r>
      <w:r>
        <w:t xml:space="preserve">to show the shape; the ledger itself is the source of truth, and</w:t>
      </w:r>
      <w:r>
        <w:t xml:space="preserve"> </w:t>
      </w:r>
      <w:r>
        <w:t xml:space="preserve">any disagreement between this page and it should be resolved in its favour.</w:t>
      </w:r>
    </w:p>
    <w:p>
      <w:pPr>
        <w:pStyle w:val="SourceCode"/>
      </w:pPr>
      <w:r>
        <w:rPr>
          <w:rStyle w:val="VerbatimChar"/>
        </w:rPr>
        <w:t xml:space="preserve">CARRY-FORWARD LEDGER                      Learner: ______________</w:t>
      </w:r>
      <w:r>
        <w:br/>
      </w:r>
      <w:r>
        <w:br/>
      </w:r>
      <w:r>
        <w:rPr>
          <w:rStyle w:val="VerbatimChar"/>
        </w:rPr>
        <w:t xml:space="preserve">System Under Test: ____________________   Repository: ____________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WEEK 1 — Make it testable                          ☐ gate passed │</w:t>
      </w:r>
      <w:r>
        <w:br/>
      </w:r>
      <w:r>
        <w:rPr>
          <w:rStyle w:val="VerbatimChar"/>
        </w:rPr>
        <w:t xml:space="preserve">│  ☐ Repository on main, unit suite green                          │</w:t>
      </w:r>
      <w:r>
        <w:br/>
      </w:r>
      <w:r>
        <w:rPr>
          <w:rStyle w:val="VerbatimChar"/>
        </w:rPr>
        <w:t xml:space="preserve">│  ☐ docs/acceptance-criteria.md — ___ criteria written            │</w:t>
      </w:r>
      <w:r>
        <w:br/>
      </w:r>
      <w:r>
        <w:rPr>
          <w:rStyle w:val="VerbatimChar"/>
        </w:rPr>
        <w:t xml:space="preserve">│  ☐ Coverage baseline recorded: ______%                           │</w:t>
      </w:r>
      <w:r>
        <w:br/>
      </w:r>
      <w:r>
        <w:rPr>
          <w:rStyle w:val="VerbatimChar"/>
        </w:rPr>
        <w:t xml:space="preserve">│  Blocked / carried into Week 2: _______________________________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WEEK 2 — Make it verifiable                        ☐ gate passed │</w:t>
      </w:r>
      <w:r>
        <w:br/>
      </w:r>
      <w:r>
        <w:rPr>
          <w:rStyle w:val="VerbatimChar"/>
        </w:rPr>
        <w:t xml:space="preserve">│  ☐ CI pipeline green · coverage ______% (gate ≥ 80%)             │</w:t>
      </w:r>
      <w:r>
        <w:br/>
      </w:r>
      <w:r>
        <w:rPr>
          <w:rStyle w:val="VerbatimChar"/>
        </w:rPr>
        <w:t xml:space="preserve">│  ☐ Gherkin decision recorded — adopt ☐ / decline ☐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WEEK 3 — Make it trustworthy                       ☐ gate passed │</w:t>
      </w:r>
      <w:r>
        <w:br/>
      </w:r>
      <w:r>
        <w:rPr>
          <w:rStyle w:val="VerbatimChar"/>
        </w:rPr>
        <w:t xml:space="preserve">│  ☐ Tuning experiment: ________ improved p95 ____ → ____ ms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WEEK 4 — Assemble and defend                       ☐ gate passed │</w:t>
      </w:r>
      <w:r>
        <w:br/>
      </w:r>
      <w:r>
        <w:rPr>
          <w:rStyle w:val="VerbatimChar"/>
        </w:rPr>
        <w:t xml:space="preserve">│  ☐ Eight stages green from one commit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The trend table at the foot of the ledger is the point.</w:t>
      </w:r>
      <w:r>
        <w:t xml:space="preserve"> </w:t>
      </w:r>
      <w:r>
        <w:t xml:space="preserve">Filled in weekly, it</w:t>
      </w:r>
      <w:r>
        <w:t xml:space="preserve"> </w:t>
      </w:r>
      <w:r>
        <w:rPr>
          <w:iCs/>
          <w:i/>
        </w:rPr>
        <w:t xml:space="preserve">becomes</w:t>
      </w:r>
      <w:r>
        <w:t xml:space="preserve"> </w:t>
      </w:r>
      <w:r>
        <w:t xml:space="preserve">the Week 4 metrics report. Filled in all at once on the last Thursday,</w:t>
      </w:r>
      <w:r>
        <w:t xml:space="preserve"> </w:t>
      </w:r>
      <w:r>
        <w:t xml:space="preserve">it contains no trend — because there was never any measurement.</w:t>
      </w:r>
    </w:p>
    <w:bookmarkEnd w:id="30"/>
    <w:bookmarkStart w:id="31" w:name="three-consequences"/>
    <w:p>
      <w:pPr>
        <w:pStyle w:val="Heading1"/>
      </w:pPr>
      <w:r>
        <w:t xml:space="preserve">Three consequences</w:t>
      </w:r>
    </w:p>
    <w:p>
      <w:pPr>
        <w:pStyle w:val="FirstParagraph"/>
      </w:pPr>
      <w:r>
        <w:rPr>
          <w:bCs/>
          <w:b/>
        </w:rPr>
        <w:t xml:space="preserve">The learner’s own project becomes the running case study.</w:t>
      </w:r>
      <w:r>
        <w:t xml:space="preserve"> </w:t>
      </w:r>
      <w:r>
        <w:t xml:space="preserve">Illustrative examples from other industries become short comparative asides rather than carrying the instructional weight.</w:t>
      </w:r>
    </w:p>
    <w:p>
      <w:pPr>
        <w:pStyle w:val="BodyText"/>
      </w:pPr>
      <w:r>
        <w:rPr>
          <w:bCs/>
          <w:b/>
        </w:rPr>
        <w:t xml:space="preserve">It makes assessment honest.</w:t>
      </w:r>
      <w:r>
        <w:t xml:space="preserve"> </w:t>
      </w:r>
      <w:r>
        <w:t xml:space="preserve">A capstone built in five days on a fresh system rewards whoever can scaffold fastest. A capstone assembled from four weeks of gated work rewards whoever built well throughout — and the exit gates make partial failure visible in Week 2 rather than at the end.</w:t>
      </w:r>
    </w:p>
    <w:p>
      <w:pPr>
        <w:pStyle w:val="BodyText"/>
      </w:pPr>
      <w:r>
        <w:rPr>
          <w:bCs/>
          <w:b/>
        </w:rPr>
        <w:t xml:space="preserve">It matches how the work actually happens.</w:t>
      </w:r>
      <w:r>
        <w:t xml:space="preserve"> </w:t>
      </w:r>
      <w:r>
        <w:t xml:space="preserve">Nobody in industry picks a new system on Friday and has a quality pipeline by the following Friday. They inherit a system, make it testable, then verifiable, then trustworthy, then defend a release. The spine is the real job, compressed.</w:t>
      </w:r>
    </w:p>
    <w:bookmarkEnd w:id="31"/>
    <w:sectPr>
      <w:footerReference r:id="rId9" w:type="default"/>
      <w:pgSz w:h="15840" w:w="12240"/>
      <w:pgMar w:bottom="1440" w:footer="576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pBdr>
        <w:top w:val="single" w:sz="4" w:space="6" w:color="C9D2D6"/>
      </w:pBdr>
      <w:tabs>
        <w:tab w:val="right" w:pos="9360"/>
      </w:tabs>
      <w:spacing w:before="60" w:after="0"/>
      <w:rPr>
        <w:rFonts w:ascii="Calibri" w:hAnsi="Calibri"/>
        <w:color w:val="7A848C"/>
        <w:sz w:val="16"/>
      </w:rPr>
    </w:pPr>
    <w:r>
      <w:rPr>
        <w:rFonts w:ascii="Calibri" w:hAnsi="Calibri"/>
        <w:color w:val="7A848C"/>
        <w:sz w:val="16"/>
      </w:rPr>
      <w:t xml:space="preserve">Project Work Automation, Clean Code &amp; Software Quality Engineering · Canadian Edition 2025 · </w:t>
    </w:r>
    <w:r>
      <w:rPr>
        <w:rFonts w:ascii="Calibri" w:hAnsi="Calibri"/>
        <w:color w:val="7A848C"/>
        <w:sz w:val="16"/>
        <w:i/>
      </w:rPr>
      <w:t>Draft for review</w:t>
    </w:r>
    <w:r>
      <w:tab/>
    </w:r>
    <w:r>
      <w:rPr>
        <w:rFonts w:ascii="Calibri" w:hAnsi="Calibri"/>
        <w:color w:val="1F5F52"/>
        <w:sz w:val="16"/>
        <w:b/>
      </w:rPr>
      <w:fldChar w:fldCharType="begin"/>
    </w:r>
    <w:r>
      <w:rPr>
        <w:rFonts w:ascii="Calibri" w:hAnsi="Calibri"/>
        <w:color w:val="1F5F52"/>
        <w:sz w:val="16"/>
        <w:b/>
      </w:rPr>
      <w:instrText xml:space="preserve"> PAGE </w:instrText>
    </w:r>
    <w:r>
      <w:rPr>
        <w:rFonts w:ascii="Calibri" w:hAnsi="Calibri"/>
        <w:color w:val="1F5F52"/>
        <w:sz w:val="16"/>
        <w:b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40"/>
    </w:pPr>
    <w:qFormat/>
    <w:rPr>
      <w:rFonts w:ascii="Calibri" w:cs="Calibri" w:hAnsi="Calibri"/>
      <w:color w:val="1A1A1A"/>
      <w:sz w:val="21"/>
      <w:szCs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20"/>
      <w:jc w:val="center"/>
    </w:pPr>
    <w:rPr>
      <w:rFonts w:ascii="Cambria" w:cs="Cambria" w:hAnsi="Cambria"/>
      <w:b/>
      <w:color w:val="1F5F52"/>
      <w:sz w:val="60"/>
      <w:szCs w:val="60"/>
      <w:spacing w:val="-10"/>
    </w:rPr>
  </w:style>
  <w:style w:styleId="Subtitle" w:type="paragraph">
    <w:name w:val="Subtitle"/>
    <w:basedOn w:val="Title"/>
    <w:next w:val="BodyText"/>
    <w:qFormat/>
    <w:pPr>
      <w:keepNext/>
      <w:keepLines/>
      <w:spacing w:after="360"/>
      <w:jc w:val="center"/>
    </w:pPr>
    <w:rPr>
      <w:rFonts w:ascii="Cambria" w:cs="Cambria" w:hAnsi="Cambria"/>
      <w:b w:val="0"/>
      <w:color w:val="55606A"/>
      <w:sz w:val="26"/>
      <w:szCs w:val="26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40" w:before="400"/>
      <w:outlineLvl w:val="0"/>
    </w:pPr>
    <w:rPr>
      <w:rFonts w:ascii="Cambria" w:cs="Cambria" w:hAnsi="Cambria"/>
      <w:b/>
      <w:color w:val="1F5F52"/>
      <w:sz w:val="34"/>
      <w:szCs w:val="34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10" w:before="320"/>
      <w:outlineLvl w:val="1"/>
    </w:pPr>
    <w:rPr>
      <w:rFonts w:ascii="Cambria" w:cs="Cambria" w:hAnsi="Cambria"/>
      <w:b/>
      <w:color w:val="1A1A1A"/>
      <w:sz w:val="27"/>
      <w:szCs w:val="27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90" w:before="260"/>
      <w:outlineLvl w:val="2"/>
    </w:pPr>
    <w:rPr>
      <w:rFonts w:ascii="Calibri" w:cs="Calibri" w:hAnsi="Calibri"/>
      <w:b/>
      <w:color w:val="1F5F52"/>
      <w:sz w:val="23"/>
      <w:szCs w:val="23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20"/>
      <w:outlineLvl w:val="3"/>
    </w:pPr>
    <w:rPr>
      <w:rFonts w:ascii="Calibri" w:cs="Calibri" w:hAnsi="Calibri"/>
      <w:b/>
      <w:color w:val="55606A"/>
      <w:sz w:val="21"/>
      <w:szCs w:val="21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cs="Calibri" w:hAnsi="Calibri"/>
      <w:color w:val="55606A"/>
      <w:sz w:val="21"/>
      <w:szCs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styleId="Table" w:type="table">
    <w:name w:val="Table"/>
    <w:basedOn w:val="TableNormal"/>
    <w:uiPriority w:val="99"/>
    <w:pPr>
      <w:spacing w:after="40" w:before="40"/>
    </w:pPr>
    <w:rPr>
      <w:rFonts w:ascii="Calibri" w:hAnsi="Calibri"/>
      <w:sz w:val="19"/>
    </w:rPr>
    <w:tblPr>
      <w:tblBorders>
        <w:top w:color="C9D2D6" w:sz="4" w:val="single"/>
        <w:bottom w:color="C9D2D6" w:sz="4" w:val="single"/>
        <w:insideH w:color="DDE3E6" w:sz="2" w:val="single"/>
      </w:tblBorders>
    </w:tblPr>
    <w:tblStylePr w:type="firstRow">
      <w:rPr>
        <w:b/>
        <w:color w:val="1F5F52"/>
        <w:sz w:val="17"/>
      </w:rPr>
      <w:tblPr/>
      <w:tcPr>
        <w:shd w:color="auto" w:fill="EDF2F1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color w:val="7A3E12"/>
      <w:sz w:val="18"/>
      <w:szCs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 Design — The Project Spine</dc:title>
  <dc:creator/>
  <cp:keywords/>
  <dcterms:created xsi:type="dcterms:W3CDTF">2026-08-31T02:46:49Z</dcterms:created>
  <dcterms:modified xsi:type="dcterms:W3CDTF">2026-08-31T02:46:49Z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Project Work Automation, Clean Code &amp; Software Quality Engineering — Canadian Edition 2025</vt:lpwstr>
  </property>
</Properties>
</file>