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Integration Checklist</w:t>
      </w:r>
    </w:p>
    <w:p>
      <w:pPr>
        <w:spacing w:after="240"/>
      </w:pPr>
      <w:r>
        <w:rPr>
          <w:color w:val="5B6573"/>
          <w:sz w:val="22"/>
        </w:rPr>
        <w:t>Steps 3, 4, 5 and 6 • Pre-live implementation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Owner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Frontend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Scope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Frontend only</w:t>
            </w:r>
          </w:p>
        </w:tc>
      </w:tr>
      <w:tr>
        <w:trPr>
          <w:cantSplit/>
        </w:trP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Backend dependency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Stable OpenAPI contracts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Working mode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Mocks behind adapters</w:t>
            </w:r>
          </w:p>
        </w:tc>
      </w:tr>
    </w:tbl>
    <w:p>
      <w:pPr>
        <w:spacing w:before="200" w:after="60"/>
      </w:pPr>
      <w:r>
        <w:rPr>
          <w:b/>
          <w:color w:val="1F4D78"/>
        </w:rPr>
        <w:t xml:space="preserve">Working rule: </w:t>
      </w:r>
      <w:r>
        <w:t>Build the UI states, adapters and tests now. Bind final URLs and generated DTOs only after backend contracts are stable. The frontend must display backend forensic results—not recalculate them.</w:t>
      </w:r>
    </w:p>
    <w:p>
      <w:pPr>
        <w:pStyle w:val="Heading1"/>
        <w:keepNext/>
      </w:pPr>
      <w:r>
        <w:t>1. Immediate content and source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283"/>
        <w:gridCol w:w="5386"/>
      </w:tblGrid>
      <w:tr>
        <w:trPr>
          <w:tblHeader w:val="true"/>
          <w:cantSplit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Done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Acceptance check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Correct dataset source cards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Show CASAS, TON_IoT telemetry and Simulation as the primary test sources. Remove CICIoT from the primary smart-home path or clearly label it secondary/out of scope.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Correct supported-format copy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All upload prompts, tooltips and help text say CSV and JSON only; remove unsupported JSONL and Parquet claims.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Correct upload-size copy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Show the currently enforced 50 MiB limit; do not display the old 2 GB claim.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Remove hard-coded import results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No fixed filename, row count, validation result or sample organization appears before a real file is processed.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Label connection truthfully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Each feature visibly distinguishes demo/mock data from backend-connected data during the transition.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Real file intake and upload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283"/>
        <w:gridCol w:w="5386"/>
      </w:tblGrid>
      <w:tr>
        <w:trPr>
          <w:tblHeader w:val="true"/>
          <w:cantSplit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Done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Acceptance check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Wire the file picker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The input accepts .csv and .json, opens from the primary action, and rejects unsupported extensions with a clear message.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Implement drag and drop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Drop zone handles drag states, dropped files and keyboard activation without replacing normal file-input accessibility.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Validate before upload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Client checks extension and 50 MiB size for fast feedback while clearly treating server validation as authoritative.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Manage selected-file state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User can inspect filename/size/type, remove it, replace it and retry without reloading the page.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Build the multipart request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FormData carries the file plus the agreed case ID, source type and media type fields; field names come from the OpenAPI contract.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Support cancel and retry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In-flight work can be cancelled; transient failures preserve the selection and offer a deliberate retry.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Show honest progress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Use determinate upload progress only when measurable; use labelled indeterminate states for server validation/import processing.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Typed API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283"/>
        <w:gridCol w:w="5386"/>
      </w:tblGrid>
      <w:tr>
        <w:trPr>
          <w:tblHeader w:val="true"/>
          <w:cantSplit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Done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Acceptance check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Create one API client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Centralize base URL, auth headers, request IDs, JSON parsing, timeouts and normalized error handling.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Establish contract typing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Generate or maintain backend DTOs from the published OpenAPI schema; avoid page-local duplicate response types.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Add import/evidence modules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Typed calls cover upload, validation result, commit/cancel, import status, evidence listing and evidence detail.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Add event/analysis modules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Typed calls cover canonical events, analysis runs/status/results and the filters/pagination each endpoint supports.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Add investigation modules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Typed calls cover findings, alerts, incidents, timelines, graphs and aggregate/chart data.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Serialize query parameters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Pagination, sorting, time ranges and filters are encoded consistently and omit undefined values.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Make requests cancellable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Page transitions and changed filters abort obsolete work using AbortController or the framework equivalent.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Keep mock and real adapters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Pages depend on a shared data-source interface so a feature flag can switch mocks to APIs without rewriting components.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Validation and import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283"/>
        <w:gridCol w:w="5386"/>
      </w:tblGrid>
      <w:tr>
        <w:trPr>
          <w:tblHeader w:val="true"/>
          <w:cantSplit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Done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Acceptance check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Model the complete state machine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Cover idle, selecting, uploading, validating, reviewing, importing, success, partial success, cancelled and failed states.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Render structured problems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File-, column- and row-level errors show location, code, explanation and actionable correction when provided.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Summarize validation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Display accepted/rejected counts, warnings and detected schema/source without implying success before the backend confirms it.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Confirm partial imports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Mixed-validity files require an explicit choice when the backend supports partial commit; consequences are stated before continuing.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Expose rejection details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Users can download or copy the backend-provided rejection log/reference when available.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Handle duplicates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Duplicate or previously imported evidence is surfaced as a warning/result, not silently hidden or double-counted.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Cover empty and stale states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Every results page has loading, empty, filtered-empty, partial, stale and recoverable-error presentations.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Announce status accessibly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Progress and completion/error changes are announced to assistive technology; focus moves to actionable error summaries.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Backend-to-view-model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283"/>
        <w:gridCol w:w="5386"/>
      </w:tblGrid>
      <w:tr>
        <w:trPr>
          <w:tblHeader w:val="true"/>
          <w:cantSplit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Done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Acceptance check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Map canonical evidence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 canonical event/evidence DTOs map once into the shared EvidenceRecord view model.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Map analysis outputs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Analysis results map into finding, alert, incident, timeline, graph and chart models without page-specific reinterpretation.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Preserve forensic identity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IDs, source references, timestamps, nullable fields, provenance and backend risk factors remain traceable in the UI model.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Treat time consistently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Transport and state retain UTC instants; localization occurs only in display formatting.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 not recompute findings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The client does not derive risk scores, correlations, event ordering or forensic conclusions independently of backend output.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Add mapper fixtures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Representative success, null-heavy, unknown-enum and partial-response fixtures verify every mapper.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Fail safely on drift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Unknown fields/enums do not crash pages; contract mismatches are logged and shown as recoverable UI errors where necessary.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Replace mocks in delivery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283"/>
        <w:gridCol w:w="5386"/>
      </w:tblGrid>
      <w:tr>
        <w:trPr>
          <w:tblHeader w:val="true"/>
          <w:cantSplit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Done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Acceptance check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1 — Import workflow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Real file selection, validation, commit/status and results replace the static import demo first.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2 — Evidence register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Evidence list, filters, pagination and detail views use canonical backend records.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3 — Findings and risk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Findings, alerts and incident summaries render backend analysis outputs and states.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4 — Timeline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Timeline uses backend ordering, grouping and provenance; the UI only controls presentation.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5 — Graph and analytics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Graph nodes/edges and aggregate charts come from backend endpoints with bounded queries.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6 — Overview counts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Case/dashboard totals are backend aggregates, not client counts of the currently loaded page.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7 — Live monitor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Switch only after collector plus SSE/WebSocket contracts are implemented and tested.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Live-stream readiness (Steps 5/7 dependency)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283"/>
        <w:gridCol w:w="5386"/>
      </w:tblGrid>
      <w:tr>
        <w:trPr>
          <w:tblHeader w:val="true"/>
          <w:cantSplit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Done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Acceptance check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Keep the current feed explicitly mocked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Do not present live telemetry as connected until a real collector and streaming endpoint exist.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Create a stream adapter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Components consume a transport-neutral interface so mock, SSE and WebSocket sources share one event contract.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Model connection health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Show connecting, connected, reconnecting, stale, disconnected and terminal-error states.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Deduplicate events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Stable backend event IDs prevent replay/reconnect duplicates from appearing or inflating counters.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Bound client buffers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Visible history and in-memory queues have explicit limits; large streams do not grow browser memory indefinitely.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Separate pause from collection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Pausing the display does not imply the backend stopped collecting; queued/dropped behavior is explained.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Handle malformed telemetry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Bad messages are counted/logged without taking down the stream; device heartbeat/staleness remains visible.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Clean up and back off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Subscriptions close on navigation; reconnect uses capped exponential backoff with jitter.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Frontend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283"/>
        <w:gridCol w:w="5386"/>
      </w:tblGrid>
      <w:tr>
        <w:trPr>
          <w:tblHeader w:val="true"/>
          <w:cantSplit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Done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Acceptance check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Unit-test clients and mappers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Requests, query serialization, normalized errors and DTO-to-view-model transformations have focused tests.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Add contract-level mocks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MSW or the project equivalent uses responses matching OpenAPI examples, including validation and partial-import failures.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every component state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Loading, empty, populated, partial, retryable error, terminal error and stale states are covered.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 upload accessibility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Keyboard-only selection/drop-zone activation, focus handling, status announcements and error association work.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Run import end-to-end cases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At minimum: valid CSV, valid JSON, mixed rows, bad schema, oversized file, unsupported file, duplicate and cancelled upload.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Audit production mock leakage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Backend-connected routes do not import fixture datasets directly; mock mode is an explicit configuration.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Verify large-result behavior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Lists and analytics paginate/aggregate server-side and never require loading the entire dataset into the browser.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Verify forensic boundaries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A code review confirms the frontend only formats and visualizes risk/correlation/timeline results supplied by backend services.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Dependency split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Can be completed now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Wait for stable backend contract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Correct dataset/format/limit copy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Final endpoint paths and request field names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File picker, drag/drop and local prechecks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Generated DTOs from published OpenAPI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API client and mock/real adapter boundary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Real import, evidence and analysis integration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UI state machines and accessibility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Backend validation/error codes and partial-import policy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View-model interfaces and mapper fixtures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Real aggregates, graphs and timeline payloads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Component and mock contract tests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☐  SSE/WebSocket transport and live-event schema</w:t>
            </w:r>
          </w:p>
        </w:tc>
      </w:tr>
    </w:tbl>
    <w:p>
      <w:pPr>
        <w:pStyle w:val="Heading1"/>
        <w:keepNext/>
      </w:pPr>
      <w:r>
        <w:t>Frontend definition of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283"/>
        <w:gridCol w:w="5386"/>
      </w:tblGrid>
      <w:tr>
        <w:trPr>
          <w:tblHeader w:val="true"/>
          <w:cantSplit/>
        </w:trPr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Done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Task</w:t>
            </w:r>
          </w:p>
        </w:tc>
        <w:tc>
          <w:tcPr>
            <w:tcW w:type="dxa" w:w="3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Acceptance check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Truthful UI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Sources, formats, limits and connectivity labels match actual system behavior.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Complete state coverage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No page depends on happy-path-only assumptions; errors and partial results remain usable.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Contract-aligned integration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All connected features use typed clients and shared mappers based on the published backend contract.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No forensic logic duplication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Risk, correlation, timeline and graph meaning remains backend-owned.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/>
                <w:b w:val="0"/>
                <w:sz w:val="24"/>
              </w:rPr>
              <w:t>☐</w:t>
            </w:r>
          </w:p>
        </w:tc>
        <w:tc>
          <w:tcPr>
            <w:tcW w:type="dxa" w:w="32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1F4D78"/>
                <w:sz w:val="18"/>
              </w:rPr>
              <w:t>Tested migration from mocks</w:t>
            </w:r>
          </w:p>
        </w:tc>
        <w:tc>
          <w:tcPr>
            <w:tcW w:type="dxa" w:w="53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sz w:val="18"/>
              </w:rPr>
              <w:t>Each replaced feature passes unit, component and relevant end-to-end checks before mock mode is removed.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97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6"/>
      </w:rPr>
      <w:t xml:space="preserve">TRACEVEIL  •  FRONTEND CHECKLIST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Calibri" w:hAnsi="Calibri"/>
        <w:b/>
        <w:color w:val="2E74B5"/>
        <w:sz w:val="16"/>
      </w:rPr>
      <w:t>TRACEVEIL  /  DELIVERY READINESS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Traceveil Frontend Integration Checklist</dc:title>
  <dc:subject>Frontend checklist for roadmap Steps 3, 4, 5 and 6</dc:subject>
  <dc:creator>Traceveil</dc:creator>
  <cp:keywords>Traceveil, frontend, API, integration, checklist,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