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9B63E5" w14:textId="77777777" w:rsidR="00BB4A23" w:rsidRPr="00AD32FD" w:rsidRDefault="00000000">
      <w:pPr>
        <w:spacing w:after="40"/>
        <w:jc w:val="center"/>
        <w:rPr>
          <w:color w:val="000000" w:themeColor="text1"/>
        </w:rPr>
      </w:pPr>
      <w:r w:rsidRPr="00AD32FD">
        <w:rPr>
          <w:b/>
          <w:bCs/>
          <w:color w:val="000000" w:themeColor="text1"/>
          <w:sz w:val="44"/>
          <w:szCs w:val="44"/>
        </w:rPr>
        <w:t>TRACEVEIL</w:t>
      </w:r>
    </w:p>
    <w:p w14:paraId="3E53FD04" w14:textId="77777777" w:rsidR="00BB4A23" w:rsidRPr="00AD32FD" w:rsidRDefault="00000000">
      <w:pPr>
        <w:spacing w:after="200"/>
        <w:jc w:val="center"/>
        <w:rPr>
          <w:color w:val="000000" w:themeColor="text1"/>
        </w:rPr>
      </w:pPr>
      <w:r w:rsidRPr="00AD32FD">
        <w:rPr>
          <w:i/>
          <w:iCs/>
          <w:color w:val="000000" w:themeColor="text1"/>
        </w:rPr>
        <w:t>AI-Assisted Real-Time Smart Home IoT Digital Forensics and Incident Response Platform</w:t>
      </w:r>
    </w:p>
    <w:p w14:paraId="371E5E77" w14:textId="77777777" w:rsidR="00BB4A23" w:rsidRPr="00AD32FD" w:rsidRDefault="00000000">
      <w:pPr>
        <w:spacing w:after="40"/>
        <w:jc w:val="center"/>
        <w:rPr>
          <w:color w:val="000000" w:themeColor="text1"/>
        </w:rPr>
      </w:pPr>
      <w:r w:rsidRPr="00AD32FD">
        <w:rPr>
          <w:b/>
          <w:bCs/>
          <w:color w:val="000000" w:themeColor="text1"/>
          <w:sz w:val="26"/>
          <w:szCs w:val="26"/>
        </w:rPr>
        <w:t>Literature Review</w:t>
      </w:r>
    </w:p>
    <w:p w14:paraId="231AD72B" w14:textId="77777777" w:rsidR="00BB4A23" w:rsidRPr="00AD32FD" w:rsidRDefault="00000000">
      <w:pPr>
        <w:spacing w:after="300"/>
        <w:jc w:val="center"/>
        <w:rPr>
          <w:color w:val="000000" w:themeColor="text1"/>
        </w:rPr>
      </w:pPr>
      <w:r w:rsidRPr="00AD32FD">
        <w:rPr>
          <w:color w:val="000000" w:themeColor="text1"/>
          <w:sz w:val="20"/>
          <w:szCs w:val="20"/>
        </w:rPr>
        <w:t xml:space="preserve">Group 18 — Ayra Jha (K028), Atharva Rangnekar (K053), Aarya Rao (K054)  |  Faculty Mentor: Prof. Rohit </w:t>
      </w:r>
      <w:proofErr w:type="spellStart"/>
      <w:r w:rsidRPr="00AD32FD">
        <w:rPr>
          <w:color w:val="000000" w:themeColor="text1"/>
          <w:sz w:val="20"/>
          <w:szCs w:val="20"/>
        </w:rPr>
        <w:t>Suryawanshi</w:t>
      </w:r>
      <w:proofErr w:type="spellEnd"/>
    </w:p>
    <w:p w14:paraId="57BD6197" w14:textId="77777777" w:rsidR="00BB4A23" w:rsidRPr="00AD32FD" w:rsidRDefault="00000000">
      <w:pPr>
        <w:pStyle w:val="Heading1"/>
        <w:spacing w:before="320"/>
        <w:rPr>
          <w:color w:val="000000" w:themeColor="text1"/>
        </w:rPr>
      </w:pPr>
      <w:r w:rsidRPr="00AD32FD">
        <w:rPr>
          <w:color w:val="000000" w:themeColor="text1"/>
        </w:rPr>
        <w:t>1. Papers Studied for This Project</w:t>
      </w:r>
    </w:p>
    <w:p w14:paraId="1755B6F3" w14:textId="77777777" w:rsidR="00BB4A23" w:rsidRPr="00AD32FD" w:rsidRDefault="00000000">
      <w:pPr>
        <w:spacing w:after="140"/>
        <w:jc w:val="both"/>
        <w:rPr>
          <w:color w:val="000000" w:themeColor="text1"/>
        </w:rPr>
      </w:pPr>
      <w:r w:rsidRPr="00AD32FD">
        <w:rPr>
          <w:color w:val="000000" w:themeColor="text1"/>
        </w:rPr>
        <w:t xml:space="preserve">The following papers, datasets, and standards were studied while designing </w:t>
      </w:r>
      <w:proofErr w:type="spellStart"/>
      <w:r w:rsidRPr="00AD32FD">
        <w:rPr>
          <w:color w:val="000000" w:themeColor="text1"/>
        </w:rPr>
        <w:t>Traceveil</w:t>
      </w:r>
      <w:proofErr w:type="spellEnd"/>
      <w:r w:rsidRPr="00AD32FD">
        <w:rPr>
          <w:color w:val="000000" w:themeColor="text1"/>
        </w:rPr>
        <w:t>. Each entry lists the source, a short explanation of its relevance, and a direct link for verification.</w:t>
      </w:r>
    </w:p>
    <w:p w14:paraId="4E583AA1" w14:textId="77777777" w:rsidR="00BB4A23" w:rsidRPr="00AD32FD" w:rsidRDefault="00000000">
      <w:pPr>
        <w:spacing w:before="160" w:after="40"/>
        <w:rPr>
          <w:color w:val="000000" w:themeColor="text1"/>
        </w:rPr>
      </w:pPr>
      <w:r w:rsidRPr="00AD32FD">
        <w:rPr>
          <w:b/>
          <w:bCs/>
          <w:color w:val="000000" w:themeColor="text1"/>
        </w:rPr>
        <w:t xml:space="preserve">1. </w:t>
      </w:r>
      <w:proofErr w:type="spellStart"/>
      <w:r w:rsidRPr="00AD32FD">
        <w:rPr>
          <w:b/>
          <w:bCs/>
          <w:color w:val="000000" w:themeColor="text1"/>
        </w:rPr>
        <w:t>TON_IoT</w:t>
      </w:r>
      <w:proofErr w:type="spellEnd"/>
      <w:r w:rsidRPr="00AD32FD">
        <w:rPr>
          <w:b/>
          <w:bCs/>
          <w:color w:val="000000" w:themeColor="text1"/>
        </w:rPr>
        <w:t xml:space="preserve"> Telemetry Dataset: A New Generation Dataset of IoT and </w:t>
      </w:r>
      <w:proofErr w:type="spellStart"/>
      <w:r w:rsidRPr="00AD32FD">
        <w:rPr>
          <w:b/>
          <w:bCs/>
          <w:color w:val="000000" w:themeColor="text1"/>
        </w:rPr>
        <w:t>IIoT</w:t>
      </w:r>
      <w:proofErr w:type="spellEnd"/>
      <w:r w:rsidRPr="00AD32FD">
        <w:rPr>
          <w:b/>
          <w:bCs/>
          <w:color w:val="000000" w:themeColor="text1"/>
        </w:rPr>
        <w:t xml:space="preserve"> for Data-Driven Intrusion Detection Systems</w:t>
      </w:r>
    </w:p>
    <w:p w14:paraId="29CE0EBA" w14:textId="77777777" w:rsidR="00BB4A23" w:rsidRPr="00AD32FD" w:rsidRDefault="00000000">
      <w:pPr>
        <w:spacing w:after="40"/>
        <w:rPr>
          <w:color w:val="000000" w:themeColor="text1"/>
        </w:rPr>
      </w:pPr>
      <w:r w:rsidRPr="00AD32FD">
        <w:rPr>
          <w:i/>
          <w:iCs/>
          <w:color w:val="000000" w:themeColor="text1"/>
          <w:sz w:val="18"/>
          <w:szCs w:val="18"/>
        </w:rPr>
        <w:t>A. Alsaedi, N. Moustafa, Z. Tari, A. Mahmood, A. Anwar — IEEE Access, vol. 8, 2020</w:t>
      </w:r>
    </w:p>
    <w:p w14:paraId="6117C00C" w14:textId="77777777" w:rsidR="00BB4A23" w:rsidRPr="00AD32FD" w:rsidRDefault="00000000">
      <w:pPr>
        <w:spacing w:after="40"/>
        <w:rPr>
          <w:color w:val="000000" w:themeColor="text1"/>
        </w:rPr>
      </w:pPr>
      <w:r w:rsidRPr="00AD32FD">
        <w:rPr>
          <w:color w:val="000000" w:themeColor="text1"/>
          <w:sz w:val="20"/>
          <w:szCs w:val="20"/>
        </w:rPr>
        <w:t>Provides heterogeneous IoT/</w:t>
      </w:r>
      <w:proofErr w:type="spellStart"/>
      <w:r w:rsidRPr="00AD32FD">
        <w:rPr>
          <w:color w:val="000000" w:themeColor="text1"/>
          <w:sz w:val="20"/>
          <w:szCs w:val="20"/>
        </w:rPr>
        <w:t>IIoT</w:t>
      </w:r>
      <w:proofErr w:type="spellEnd"/>
      <w:r w:rsidRPr="00AD32FD">
        <w:rPr>
          <w:color w:val="000000" w:themeColor="text1"/>
          <w:sz w:val="20"/>
          <w:szCs w:val="20"/>
        </w:rPr>
        <w:t xml:space="preserve"> telemetry, OS logs, and network traffic collected from a realistic UNSW Canberra Cyber Range testbed, labelled normal/attack. We use this as one of our two primary batch-evidence sources to test ingestion and normalization.</w:t>
      </w:r>
    </w:p>
    <w:p w14:paraId="672F7B53" w14:textId="77777777" w:rsidR="00BB4A23" w:rsidRDefault="00000000">
      <w:pPr>
        <w:spacing w:after="160"/>
        <w:rPr>
          <w:color w:val="000000" w:themeColor="text1"/>
        </w:rPr>
      </w:pPr>
      <w:r w:rsidRPr="00AD32FD">
        <w:rPr>
          <w:color w:val="000000" w:themeColor="text1"/>
          <w:sz w:val="18"/>
          <w:szCs w:val="18"/>
        </w:rPr>
        <w:t xml:space="preserve">Link: </w:t>
      </w:r>
      <w:hyperlink r:id="rId7" w:history="1">
        <w:r w:rsidRPr="00AD32FD">
          <w:rPr>
            <w:color w:val="000000" w:themeColor="text1"/>
            <w:u w:val="single"/>
          </w:rPr>
          <w:t>research.unsw.edu.au/projects/</w:t>
        </w:r>
        <w:proofErr w:type="spellStart"/>
        <w:r w:rsidRPr="00AD32FD">
          <w:rPr>
            <w:color w:val="000000" w:themeColor="text1"/>
            <w:u w:val="single"/>
          </w:rPr>
          <w:t>toniot</w:t>
        </w:r>
        <w:proofErr w:type="spellEnd"/>
        <w:r w:rsidRPr="00AD32FD">
          <w:rPr>
            <w:color w:val="000000" w:themeColor="text1"/>
            <w:u w:val="single"/>
          </w:rPr>
          <w:t>-data</w:t>
        </w:r>
        <w:r w:rsidRPr="00AD32FD">
          <w:rPr>
            <w:color w:val="000000" w:themeColor="text1"/>
            <w:u w:val="single"/>
          </w:rPr>
          <w:t>s</w:t>
        </w:r>
        <w:r w:rsidRPr="00AD32FD">
          <w:rPr>
            <w:color w:val="000000" w:themeColor="text1"/>
            <w:u w:val="single"/>
          </w:rPr>
          <w:t>ets</w:t>
        </w:r>
      </w:hyperlink>
    </w:p>
    <w:p w14:paraId="167A5515" w14:textId="77777777" w:rsidR="00AD32FD" w:rsidRPr="00AD32FD" w:rsidRDefault="00AD32FD">
      <w:pPr>
        <w:spacing w:after="160"/>
        <w:rPr>
          <w:color w:val="000000" w:themeColor="text1"/>
        </w:rPr>
      </w:pPr>
    </w:p>
    <w:p w14:paraId="239B1FBB" w14:textId="77777777" w:rsidR="00BB4A23" w:rsidRPr="00AD32FD" w:rsidRDefault="00000000">
      <w:pPr>
        <w:spacing w:before="160" w:after="40"/>
        <w:rPr>
          <w:color w:val="000000" w:themeColor="text1"/>
        </w:rPr>
      </w:pPr>
      <w:r w:rsidRPr="00AD32FD">
        <w:rPr>
          <w:b/>
          <w:bCs/>
          <w:color w:val="000000" w:themeColor="text1"/>
        </w:rPr>
        <w:t>2. CICIoT2023: A Real-Time Dataset and Benchmark for Large-Scale Attacks in IoT Environment</w:t>
      </w:r>
    </w:p>
    <w:p w14:paraId="111D1716" w14:textId="77777777" w:rsidR="00BB4A23" w:rsidRPr="00AD32FD" w:rsidRDefault="00000000">
      <w:pPr>
        <w:spacing w:after="40"/>
        <w:rPr>
          <w:color w:val="000000" w:themeColor="text1"/>
        </w:rPr>
      </w:pPr>
      <w:r w:rsidRPr="00AD32FD">
        <w:rPr>
          <w:i/>
          <w:iCs/>
          <w:color w:val="000000" w:themeColor="text1"/>
          <w:sz w:val="18"/>
          <w:szCs w:val="18"/>
        </w:rPr>
        <w:t xml:space="preserve">E. C. P. Neto, S. Dadkhah, R. Ferreira, A. </w:t>
      </w:r>
      <w:proofErr w:type="spellStart"/>
      <w:r w:rsidRPr="00AD32FD">
        <w:rPr>
          <w:i/>
          <w:iCs/>
          <w:color w:val="000000" w:themeColor="text1"/>
          <w:sz w:val="18"/>
          <w:szCs w:val="18"/>
        </w:rPr>
        <w:t>Zohourian</w:t>
      </w:r>
      <w:proofErr w:type="spellEnd"/>
      <w:r w:rsidRPr="00AD32FD">
        <w:rPr>
          <w:i/>
          <w:iCs/>
          <w:color w:val="000000" w:themeColor="text1"/>
          <w:sz w:val="18"/>
          <w:szCs w:val="18"/>
        </w:rPr>
        <w:t>, R. Lu, A. A. Ghorbani — Sensors, vol. 23, no. 13, 2023</w:t>
      </w:r>
    </w:p>
    <w:p w14:paraId="240B6BC7" w14:textId="77777777" w:rsidR="00BB4A23" w:rsidRPr="00AD32FD" w:rsidRDefault="00000000">
      <w:pPr>
        <w:spacing w:after="40"/>
        <w:rPr>
          <w:color w:val="000000" w:themeColor="text1"/>
        </w:rPr>
      </w:pPr>
      <w:r w:rsidRPr="00AD32FD">
        <w:rPr>
          <w:color w:val="000000" w:themeColor="text1"/>
          <w:sz w:val="20"/>
          <w:szCs w:val="20"/>
        </w:rPr>
        <w:t>Traffic captured from 105 real IoT devices across 33 attacks in 7 categories (DDoS, DoS, Recon, Web, Brute Force, Spoofing, Mirai) in a smart-home-like topology. Used as our second batch-evidence source to evaluate detection workflows.</w:t>
      </w:r>
    </w:p>
    <w:p w14:paraId="65328164" w14:textId="77777777" w:rsidR="00BB4A23" w:rsidRPr="00AD32FD" w:rsidRDefault="00000000">
      <w:pPr>
        <w:spacing w:after="160"/>
        <w:rPr>
          <w:color w:val="000000" w:themeColor="text1"/>
        </w:rPr>
      </w:pPr>
      <w:r w:rsidRPr="00AD32FD">
        <w:rPr>
          <w:color w:val="000000" w:themeColor="text1"/>
          <w:sz w:val="18"/>
          <w:szCs w:val="18"/>
        </w:rPr>
        <w:t xml:space="preserve">Link: </w:t>
      </w:r>
      <w:hyperlink r:id="rId8" w:history="1">
        <w:r w:rsidRPr="00AD32FD">
          <w:rPr>
            <w:color w:val="000000" w:themeColor="text1"/>
            <w:u w:val="single"/>
          </w:rPr>
          <w:t>doi.org/10.3390/s23135941</w:t>
        </w:r>
      </w:hyperlink>
    </w:p>
    <w:p w14:paraId="5D9AB9D6" w14:textId="77777777" w:rsidR="00BB4A23" w:rsidRPr="00AD32FD" w:rsidRDefault="00000000">
      <w:pPr>
        <w:spacing w:before="160" w:after="40"/>
        <w:rPr>
          <w:color w:val="000000" w:themeColor="text1"/>
        </w:rPr>
      </w:pPr>
      <w:r w:rsidRPr="00AD32FD">
        <w:rPr>
          <w:b/>
          <w:bCs/>
          <w:color w:val="000000" w:themeColor="text1"/>
        </w:rPr>
        <w:t>3. IoT-CAD: A Comprehensive Digital Forensics Dataset for AI-based Cyberattack Attribution Detection Methods in IoT Environments</w:t>
      </w:r>
    </w:p>
    <w:p w14:paraId="13D81EC9" w14:textId="77777777" w:rsidR="00BB4A23" w:rsidRPr="00AD32FD" w:rsidRDefault="00000000">
      <w:pPr>
        <w:spacing w:after="40"/>
        <w:rPr>
          <w:color w:val="000000" w:themeColor="text1"/>
        </w:rPr>
      </w:pPr>
      <w:r w:rsidRPr="00AD32FD">
        <w:rPr>
          <w:i/>
          <w:iCs/>
          <w:color w:val="000000" w:themeColor="text1"/>
          <w:sz w:val="18"/>
          <w:szCs w:val="18"/>
        </w:rPr>
        <w:t xml:space="preserve">H. Mohamed, N. </w:t>
      </w:r>
      <w:proofErr w:type="spellStart"/>
      <w:r w:rsidRPr="00AD32FD">
        <w:rPr>
          <w:i/>
          <w:iCs/>
          <w:color w:val="000000" w:themeColor="text1"/>
          <w:sz w:val="18"/>
          <w:szCs w:val="18"/>
        </w:rPr>
        <w:t>Koroniotis</w:t>
      </w:r>
      <w:proofErr w:type="spellEnd"/>
      <w:r w:rsidRPr="00AD32FD">
        <w:rPr>
          <w:i/>
          <w:iCs/>
          <w:color w:val="000000" w:themeColor="text1"/>
          <w:sz w:val="18"/>
          <w:szCs w:val="18"/>
        </w:rPr>
        <w:t>, F. Schiliro, N. Moustafa — Ad Hoc Networks, vol. 174, 2025</w:t>
      </w:r>
    </w:p>
    <w:p w14:paraId="6521C8E7" w14:textId="77777777" w:rsidR="00BB4A23" w:rsidRPr="00AD32FD" w:rsidRDefault="00000000">
      <w:pPr>
        <w:spacing w:after="40"/>
        <w:rPr>
          <w:color w:val="000000" w:themeColor="text1"/>
        </w:rPr>
      </w:pPr>
      <w:r w:rsidRPr="00AD32FD">
        <w:rPr>
          <w:color w:val="000000" w:themeColor="text1"/>
          <w:sz w:val="20"/>
          <w:szCs w:val="20"/>
        </w:rPr>
        <w:t xml:space="preserve">The most recent and closest published work to </w:t>
      </w:r>
      <w:proofErr w:type="spellStart"/>
      <w:r w:rsidRPr="00AD32FD">
        <w:rPr>
          <w:color w:val="000000" w:themeColor="text1"/>
          <w:sz w:val="20"/>
          <w:szCs w:val="20"/>
        </w:rPr>
        <w:t>Traceveil's</w:t>
      </w:r>
      <w:proofErr w:type="spellEnd"/>
      <w:r w:rsidRPr="00AD32FD">
        <w:rPr>
          <w:color w:val="000000" w:themeColor="text1"/>
          <w:sz w:val="20"/>
          <w:szCs w:val="20"/>
        </w:rPr>
        <w:t xml:space="preserve"> ambition — combines memory, disk, process, system-call and network traces across real/simulated IoT devices and evaluates them with both centralized and federated deep learning for detection and attribution. Studied to understand how forensic datasets are now being paired with AI, and to identify what such approaches still leave out (determinism, investigator-facing correlation).</w:t>
      </w:r>
    </w:p>
    <w:p w14:paraId="5C25357C" w14:textId="77777777" w:rsidR="00BB4A23" w:rsidRPr="00AD32FD" w:rsidRDefault="00000000">
      <w:pPr>
        <w:spacing w:after="160"/>
        <w:rPr>
          <w:color w:val="000000" w:themeColor="text1"/>
        </w:rPr>
      </w:pPr>
      <w:r w:rsidRPr="00AD32FD">
        <w:rPr>
          <w:color w:val="000000" w:themeColor="text1"/>
          <w:sz w:val="18"/>
          <w:szCs w:val="18"/>
        </w:rPr>
        <w:t xml:space="preserve">Link: </w:t>
      </w:r>
      <w:hyperlink r:id="rId9" w:history="1">
        <w:r w:rsidRPr="00AD32FD">
          <w:rPr>
            <w:color w:val="000000" w:themeColor="text1"/>
            <w:u w:val="single"/>
          </w:rPr>
          <w:t>doi.org/10.1016/j.adhoc.2025.103840</w:t>
        </w:r>
      </w:hyperlink>
    </w:p>
    <w:p w14:paraId="1A81C1A6" w14:textId="77777777" w:rsidR="00BB4A23" w:rsidRPr="00AD32FD" w:rsidRDefault="00000000">
      <w:pPr>
        <w:spacing w:before="160" w:after="40"/>
        <w:rPr>
          <w:color w:val="000000" w:themeColor="text1"/>
        </w:rPr>
      </w:pPr>
      <w:r w:rsidRPr="00AD32FD">
        <w:rPr>
          <w:b/>
          <w:bCs/>
          <w:color w:val="000000" w:themeColor="text1"/>
        </w:rPr>
        <w:t xml:space="preserve">4. Research on Digital Forensics </w:t>
      </w:r>
      <w:proofErr w:type="spellStart"/>
      <w:r w:rsidRPr="00AD32FD">
        <w:rPr>
          <w:b/>
          <w:bCs/>
          <w:color w:val="000000" w:themeColor="text1"/>
        </w:rPr>
        <w:t>Analyzing</w:t>
      </w:r>
      <w:proofErr w:type="spellEnd"/>
      <w:r w:rsidRPr="00AD32FD">
        <w:rPr>
          <w:b/>
          <w:bCs/>
          <w:color w:val="000000" w:themeColor="text1"/>
        </w:rPr>
        <w:t xml:space="preserve"> Heterogeneous Internet of Things Incident Investigations</w:t>
      </w:r>
    </w:p>
    <w:p w14:paraId="7EEEAA7C" w14:textId="77777777" w:rsidR="00BB4A23" w:rsidRPr="00AD32FD" w:rsidRDefault="00000000">
      <w:pPr>
        <w:spacing w:after="40"/>
        <w:rPr>
          <w:color w:val="000000" w:themeColor="text1"/>
        </w:rPr>
      </w:pPr>
      <w:r w:rsidRPr="00AD32FD">
        <w:rPr>
          <w:i/>
          <w:iCs/>
          <w:color w:val="000000" w:themeColor="text1"/>
          <w:sz w:val="18"/>
          <w:szCs w:val="18"/>
        </w:rPr>
        <w:t>D. Kim et al. — Applied Sciences (MDPI), vol. 14, no. 3, 2024</w:t>
      </w:r>
    </w:p>
    <w:p w14:paraId="250F4532" w14:textId="77777777" w:rsidR="00BB4A23" w:rsidRPr="00AD32FD" w:rsidRDefault="00000000">
      <w:pPr>
        <w:spacing w:after="40"/>
        <w:rPr>
          <w:color w:val="000000" w:themeColor="text1"/>
        </w:rPr>
      </w:pPr>
      <w:r w:rsidRPr="00AD32FD">
        <w:rPr>
          <w:color w:val="000000" w:themeColor="text1"/>
          <w:sz w:val="20"/>
          <w:szCs w:val="20"/>
        </w:rPr>
        <w:t xml:space="preserve">Validates a forensic acquisition methodology across Samsung SmartThings, </w:t>
      </w:r>
      <w:proofErr w:type="spellStart"/>
      <w:r w:rsidRPr="00AD32FD">
        <w:rPr>
          <w:color w:val="000000" w:themeColor="text1"/>
          <w:sz w:val="20"/>
          <w:szCs w:val="20"/>
        </w:rPr>
        <w:t>Aqara</w:t>
      </w:r>
      <w:proofErr w:type="spellEnd"/>
      <w:r w:rsidRPr="00AD32FD">
        <w:rPr>
          <w:color w:val="000000" w:themeColor="text1"/>
          <w:sz w:val="20"/>
          <w:szCs w:val="20"/>
        </w:rPr>
        <w:t>, QNAP NAS and Hikvision IP cameras, confirming that proprietary formats and drifted timestamps are a real, device-level obstacle. Studied to ground our 'siloed and fragmented data' problem statement in concrete, tested evidence rather than assumption.</w:t>
      </w:r>
    </w:p>
    <w:p w14:paraId="55DE4317" w14:textId="77777777" w:rsidR="00BB4A23" w:rsidRPr="00AD32FD" w:rsidRDefault="00000000">
      <w:pPr>
        <w:spacing w:after="160"/>
        <w:rPr>
          <w:color w:val="000000" w:themeColor="text1"/>
        </w:rPr>
      </w:pPr>
      <w:r w:rsidRPr="00AD32FD">
        <w:rPr>
          <w:color w:val="000000" w:themeColor="text1"/>
          <w:sz w:val="18"/>
          <w:szCs w:val="18"/>
        </w:rPr>
        <w:t xml:space="preserve">Link: </w:t>
      </w:r>
      <w:hyperlink r:id="rId10" w:history="1">
        <w:r w:rsidRPr="00AD32FD">
          <w:rPr>
            <w:color w:val="000000" w:themeColor="text1"/>
            <w:u w:val="single"/>
          </w:rPr>
          <w:t>doi.org/10.3390/app14031128</w:t>
        </w:r>
      </w:hyperlink>
    </w:p>
    <w:p w14:paraId="4AC09E79" w14:textId="77777777" w:rsidR="00BB4A23" w:rsidRPr="00AD32FD" w:rsidRDefault="00000000">
      <w:pPr>
        <w:spacing w:before="160" w:after="40"/>
        <w:rPr>
          <w:color w:val="000000" w:themeColor="text1"/>
        </w:rPr>
      </w:pPr>
      <w:r w:rsidRPr="00AD32FD">
        <w:rPr>
          <w:b/>
          <w:bCs/>
          <w:color w:val="000000" w:themeColor="text1"/>
        </w:rPr>
        <w:t>5. Smart Home IoT Forensics: Current Status, Challenges, and Future Directions</w:t>
      </w:r>
    </w:p>
    <w:p w14:paraId="5A8C6EFB" w14:textId="77777777" w:rsidR="00BB4A23" w:rsidRPr="00AD32FD" w:rsidRDefault="00000000">
      <w:pPr>
        <w:spacing w:after="40"/>
        <w:rPr>
          <w:color w:val="000000" w:themeColor="text1"/>
        </w:rPr>
      </w:pPr>
      <w:r w:rsidRPr="00AD32FD">
        <w:rPr>
          <w:i/>
          <w:iCs/>
          <w:color w:val="000000" w:themeColor="text1"/>
          <w:sz w:val="18"/>
          <w:szCs w:val="18"/>
        </w:rPr>
        <w:t>Conference paper — 2023 International Conference on Advancement in Computation &amp; Computer Technologies (</w:t>
      </w:r>
      <w:proofErr w:type="spellStart"/>
      <w:r w:rsidRPr="00AD32FD">
        <w:rPr>
          <w:i/>
          <w:iCs/>
          <w:color w:val="000000" w:themeColor="text1"/>
          <w:sz w:val="18"/>
          <w:szCs w:val="18"/>
        </w:rPr>
        <w:t>InCACCT</w:t>
      </w:r>
      <w:proofErr w:type="spellEnd"/>
      <w:r w:rsidRPr="00AD32FD">
        <w:rPr>
          <w:i/>
          <w:iCs/>
          <w:color w:val="000000" w:themeColor="text1"/>
          <w:sz w:val="18"/>
          <w:szCs w:val="18"/>
        </w:rPr>
        <w:t>)</w:t>
      </w:r>
    </w:p>
    <w:p w14:paraId="588A8A05" w14:textId="77777777" w:rsidR="00BB4A23" w:rsidRPr="00AD32FD" w:rsidRDefault="00000000">
      <w:pPr>
        <w:spacing w:after="40"/>
        <w:rPr>
          <w:color w:val="000000" w:themeColor="text1"/>
        </w:rPr>
      </w:pPr>
      <w:r w:rsidRPr="00AD32FD">
        <w:rPr>
          <w:color w:val="000000" w:themeColor="text1"/>
          <w:sz w:val="20"/>
          <w:szCs w:val="20"/>
        </w:rPr>
        <w:t>Surveys the current state of smart-home IoT forensics and catalogues open challenges: data volatility, webcam/user-data handling, and the lack of standard extraction tooling. Used to scope what is realistically 'in scope' vs. 'out of scope' for an academic prototype.</w:t>
      </w:r>
    </w:p>
    <w:p w14:paraId="55DDBECD" w14:textId="77777777" w:rsidR="00BB4A23" w:rsidRPr="00AD32FD" w:rsidRDefault="00000000">
      <w:pPr>
        <w:spacing w:after="160"/>
        <w:rPr>
          <w:color w:val="000000" w:themeColor="text1"/>
        </w:rPr>
      </w:pPr>
      <w:r w:rsidRPr="00AD32FD">
        <w:rPr>
          <w:color w:val="000000" w:themeColor="text1"/>
          <w:sz w:val="18"/>
          <w:szCs w:val="18"/>
        </w:rPr>
        <w:t xml:space="preserve">Link: </w:t>
      </w:r>
      <w:hyperlink r:id="rId11" w:history="1">
        <w:r w:rsidRPr="00AD32FD">
          <w:rPr>
            <w:color w:val="000000" w:themeColor="text1"/>
            <w:u w:val="single"/>
          </w:rPr>
          <w:t>researchgate.net (</w:t>
        </w:r>
        <w:proofErr w:type="spellStart"/>
        <w:r w:rsidRPr="00AD32FD">
          <w:rPr>
            <w:color w:val="000000" w:themeColor="text1"/>
            <w:u w:val="single"/>
          </w:rPr>
          <w:t>InCACCT</w:t>
        </w:r>
        <w:proofErr w:type="spellEnd"/>
        <w:r w:rsidRPr="00AD32FD">
          <w:rPr>
            <w:color w:val="000000" w:themeColor="text1"/>
            <w:u w:val="single"/>
          </w:rPr>
          <w:t xml:space="preserve"> 2023)</w:t>
        </w:r>
      </w:hyperlink>
    </w:p>
    <w:p w14:paraId="36EDA846" w14:textId="77777777" w:rsidR="00BB4A23" w:rsidRPr="00AD32FD" w:rsidRDefault="00000000">
      <w:pPr>
        <w:spacing w:before="160" w:after="40"/>
        <w:rPr>
          <w:color w:val="000000" w:themeColor="text1"/>
        </w:rPr>
      </w:pPr>
      <w:r w:rsidRPr="00AD32FD">
        <w:rPr>
          <w:b/>
          <w:bCs/>
          <w:color w:val="000000" w:themeColor="text1"/>
        </w:rPr>
        <w:t>6. A Survey of Internet of Things (IoT) Forensics Frameworks and Challenges</w:t>
      </w:r>
    </w:p>
    <w:p w14:paraId="565D4B30" w14:textId="77777777" w:rsidR="00BB4A23" w:rsidRPr="00AD32FD" w:rsidRDefault="00000000">
      <w:pPr>
        <w:spacing w:after="40"/>
        <w:rPr>
          <w:color w:val="000000" w:themeColor="text1"/>
        </w:rPr>
      </w:pPr>
      <w:r w:rsidRPr="00AD32FD">
        <w:rPr>
          <w:i/>
          <w:iCs/>
          <w:color w:val="000000" w:themeColor="text1"/>
          <w:sz w:val="18"/>
          <w:szCs w:val="18"/>
        </w:rPr>
        <w:t>F. Abdel-Fattah et al. — 2023</w:t>
      </w:r>
    </w:p>
    <w:p w14:paraId="541A4E66" w14:textId="77777777" w:rsidR="00BB4A23" w:rsidRPr="00AD32FD" w:rsidRDefault="00000000">
      <w:pPr>
        <w:spacing w:after="40"/>
        <w:rPr>
          <w:color w:val="000000" w:themeColor="text1"/>
        </w:rPr>
      </w:pPr>
      <w:r w:rsidRPr="00AD32FD">
        <w:rPr>
          <w:color w:val="000000" w:themeColor="text1"/>
          <w:sz w:val="20"/>
          <w:szCs w:val="20"/>
        </w:rPr>
        <w:lastRenderedPageBreak/>
        <w:t>Reviews existing IoT forensic frameworks, including a blockchain-based evidence-preservation scheme for smart homes, and validates a framework on Samsung SmartThings/Xiaomi Mi Home testbeds. Studied to compare acquisition-and-classification approaches against our normalization-and-correlation approach.</w:t>
      </w:r>
    </w:p>
    <w:p w14:paraId="103E705B" w14:textId="77777777" w:rsidR="00BB4A23" w:rsidRPr="00AD32FD" w:rsidRDefault="00000000">
      <w:pPr>
        <w:spacing w:after="160"/>
        <w:rPr>
          <w:color w:val="000000" w:themeColor="text1"/>
        </w:rPr>
      </w:pPr>
      <w:r w:rsidRPr="00AD32FD">
        <w:rPr>
          <w:color w:val="000000" w:themeColor="text1"/>
          <w:sz w:val="18"/>
          <w:szCs w:val="18"/>
        </w:rPr>
        <w:t xml:space="preserve">Link: </w:t>
      </w:r>
      <w:hyperlink r:id="rId12" w:history="1">
        <w:r w:rsidRPr="00AD32FD">
          <w:rPr>
            <w:color w:val="000000" w:themeColor="text1"/>
            <w:u w:val="single"/>
          </w:rPr>
          <w:t>researchgate.net (Abdel-Fattah et al., 2023)</w:t>
        </w:r>
      </w:hyperlink>
    </w:p>
    <w:p w14:paraId="4669099B" w14:textId="77777777" w:rsidR="00BB4A23" w:rsidRPr="00AD32FD" w:rsidRDefault="00000000">
      <w:pPr>
        <w:spacing w:before="160" w:after="40"/>
        <w:rPr>
          <w:color w:val="000000" w:themeColor="text1"/>
        </w:rPr>
      </w:pPr>
      <w:r w:rsidRPr="00AD32FD">
        <w:rPr>
          <w:b/>
          <w:bCs/>
          <w:color w:val="000000" w:themeColor="text1"/>
        </w:rPr>
        <w:t>7. Device Forensics in Smart Homes: Insights on Advances, Challenges and Future Directions</w:t>
      </w:r>
    </w:p>
    <w:p w14:paraId="46A26224" w14:textId="77777777" w:rsidR="00BB4A23" w:rsidRPr="00AD32FD" w:rsidRDefault="00000000">
      <w:pPr>
        <w:spacing w:after="40"/>
        <w:rPr>
          <w:color w:val="000000" w:themeColor="text1"/>
        </w:rPr>
      </w:pPr>
      <w:r w:rsidRPr="00AD32FD">
        <w:rPr>
          <w:i/>
          <w:iCs/>
          <w:color w:val="000000" w:themeColor="text1"/>
          <w:sz w:val="18"/>
          <w:szCs w:val="18"/>
        </w:rPr>
        <w:t>Systematic Literature Review — Transactions on Large-Scale Data- and Knowledge-Centered Systems (TLDKS), Springer, 2024</w:t>
      </w:r>
    </w:p>
    <w:p w14:paraId="5E9BC8F5" w14:textId="77777777" w:rsidR="00BB4A23" w:rsidRPr="00AD32FD" w:rsidRDefault="00000000">
      <w:pPr>
        <w:spacing w:after="40"/>
        <w:rPr>
          <w:color w:val="000000" w:themeColor="text1"/>
        </w:rPr>
      </w:pPr>
      <w:r w:rsidRPr="00AD32FD">
        <w:rPr>
          <w:color w:val="000000" w:themeColor="text1"/>
          <w:sz w:val="20"/>
          <w:szCs w:val="20"/>
        </w:rPr>
        <w:t xml:space="preserve">A formal SLR across Springer, IEEE Xplore, ACM Digital Library and ScienceDirect that builds a taxonomy of smart speakers, wearables, and smart-things forensics, and documents manual/logical/physical extraction methods. Used to confirm that no existing survey proposes a unifying canonical schema — the specific gap </w:t>
      </w:r>
      <w:proofErr w:type="spellStart"/>
      <w:r w:rsidRPr="00AD32FD">
        <w:rPr>
          <w:color w:val="000000" w:themeColor="text1"/>
          <w:sz w:val="20"/>
          <w:szCs w:val="20"/>
        </w:rPr>
        <w:t>Traceveil</w:t>
      </w:r>
      <w:proofErr w:type="spellEnd"/>
      <w:r w:rsidRPr="00AD32FD">
        <w:rPr>
          <w:color w:val="000000" w:themeColor="text1"/>
          <w:sz w:val="20"/>
          <w:szCs w:val="20"/>
        </w:rPr>
        <w:t xml:space="preserve"> targets.</w:t>
      </w:r>
    </w:p>
    <w:p w14:paraId="19793C98" w14:textId="77777777" w:rsidR="00BB4A23" w:rsidRPr="00AD32FD" w:rsidRDefault="00000000">
      <w:pPr>
        <w:spacing w:after="160"/>
        <w:rPr>
          <w:color w:val="000000" w:themeColor="text1"/>
        </w:rPr>
      </w:pPr>
      <w:r w:rsidRPr="00AD32FD">
        <w:rPr>
          <w:color w:val="000000" w:themeColor="text1"/>
          <w:sz w:val="18"/>
          <w:szCs w:val="18"/>
        </w:rPr>
        <w:t xml:space="preserve">Link: </w:t>
      </w:r>
      <w:hyperlink r:id="rId13" w:history="1">
        <w:r w:rsidRPr="00AD32FD">
          <w:rPr>
            <w:color w:val="000000" w:themeColor="text1"/>
            <w:u w:val="single"/>
          </w:rPr>
          <w:t>researchgate.net (TLDKS, 2024)</w:t>
        </w:r>
      </w:hyperlink>
    </w:p>
    <w:p w14:paraId="5B1641AC" w14:textId="77777777" w:rsidR="00BB4A23" w:rsidRPr="00AD32FD" w:rsidRDefault="00000000">
      <w:pPr>
        <w:spacing w:before="160" w:after="40"/>
        <w:rPr>
          <w:color w:val="000000" w:themeColor="text1"/>
        </w:rPr>
      </w:pPr>
      <w:r w:rsidRPr="00AD32FD">
        <w:rPr>
          <w:b/>
          <w:bCs/>
          <w:color w:val="000000" w:themeColor="text1"/>
        </w:rPr>
        <w:t>8. Cybersecurity and Cyber Forensics for Smart Cities: A Comprehensive Literature Review and Survey</w:t>
      </w:r>
    </w:p>
    <w:p w14:paraId="7FE254FF" w14:textId="77777777" w:rsidR="00BB4A23" w:rsidRPr="00AD32FD" w:rsidRDefault="00000000">
      <w:pPr>
        <w:spacing w:after="40"/>
        <w:rPr>
          <w:color w:val="000000" w:themeColor="text1"/>
        </w:rPr>
      </w:pPr>
      <w:r w:rsidRPr="00AD32FD">
        <w:rPr>
          <w:i/>
          <w:iCs/>
          <w:color w:val="000000" w:themeColor="text1"/>
          <w:sz w:val="18"/>
          <w:szCs w:val="18"/>
        </w:rPr>
        <w:t>Journal article (154-paper review, 2015–2022) — PMC, 2023</w:t>
      </w:r>
    </w:p>
    <w:p w14:paraId="28E3C1F5" w14:textId="77777777" w:rsidR="00BB4A23" w:rsidRPr="00AD32FD" w:rsidRDefault="00000000">
      <w:pPr>
        <w:spacing w:after="40"/>
        <w:rPr>
          <w:color w:val="000000" w:themeColor="text1"/>
        </w:rPr>
      </w:pPr>
      <w:r w:rsidRPr="00AD32FD">
        <w:rPr>
          <w:color w:val="000000" w:themeColor="text1"/>
          <w:sz w:val="20"/>
          <w:szCs w:val="20"/>
        </w:rPr>
        <w:t>Reviews 154 papers on smart-city cybersecurity and forensics, finding that smart homes/IoT are the most active research area in cybersecurity, while cyber forensics research lags behind at a macro level. Used to support the motivation that forensics — not just detection — needs more research investment in the smart-home space.</w:t>
      </w:r>
    </w:p>
    <w:p w14:paraId="4494AF7E" w14:textId="77777777" w:rsidR="00BB4A23" w:rsidRPr="00AD32FD" w:rsidRDefault="00000000">
      <w:pPr>
        <w:spacing w:after="160"/>
        <w:rPr>
          <w:color w:val="000000" w:themeColor="text1"/>
        </w:rPr>
      </w:pPr>
      <w:r w:rsidRPr="00AD32FD">
        <w:rPr>
          <w:color w:val="000000" w:themeColor="text1"/>
          <w:sz w:val="18"/>
          <w:szCs w:val="18"/>
        </w:rPr>
        <w:t xml:space="preserve">Link: </w:t>
      </w:r>
      <w:hyperlink r:id="rId14" w:history="1">
        <w:r w:rsidRPr="00AD32FD">
          <w:rPr>
            <w:color w:val="000000" w:themeColor="text1"/>
            <w:u w:val="single"/>
          </w:rPr>
          <w:t>ncbi.nlm.nih.gov/</w:t>
        </w:r>
        <w:proofErr w:type="spellStart"/>
        <w:r w:rsidRPr="00AD32FD">
          <w:rPr>
            <w:color w:val="000000" w:themeColor="text1"/>
            <w:u w:val="single"/>
          </w:rPr>
          <w:t>pmc</w:t>
        </w:r>
        <w:proofErr w:type="spellEnd"/>
        <w:r w:rsidRPr="00AD32FD">
          <w:rPr>
            <w:color w:val="000000" w:themeColor="text1"/>
            <w:u w:val="single"/>
          </w:rPr>
          <w:t>/articles/PMC10099346</w:t>
        </w:r>
      </w:hyperlink>
    </w:p>
    <w:p w14:paraId="171D464C" w14:textId="77777777" w:rsidR="00BB4A23" w:rsidRPr="00AD32FD" w:rsidRDefault="00000000">
      <w:pPr>
        <w:spacing w:before="160" w:after="40"/>
        <w:rPr>
          <w:color w:val="000000" w:themeColor="text1"/>
        </w:rPr>
      </w:pPr>
      <w:r w:rsidRPr="00AD32FD">
        <w:rPr>
          <w:b/>
          <w:bCs/>
          <w:color w:val="000000" w:themeColor="text1"/>
        </w:rPr>
        <w:t>9. Smart Home Forensics — Data Analysis of IoT Devices</w:t>
      </w:r>
    </w:p>
    <w:p w14:paraId="591E9D10" w14:textId="77777777" w:rsidR="00BB4A23" w:rsidRPr="00AD32FD" w:rsidRDefault="00000000">
      <w:pPr>
        <w:spacing w:after="40"/>
        <w:rPr>
          <w:color w:val="000000" w:themeColor="text1"/>
        </w:rPr>
      </w:pPr>
      <w:r w:rsidRPr="00AD32FD">
        <w:rPr>
          <w:i/>
          <w:iCs/>
          <w:color w:val="000000" w:themeColor="text1"/>
          <w:sz w:val="18"/>
          <w:szCs w:val="18"/>
        </w:rPr>
        <w:t>D. Kim, J. Park — indexed on Semantic Scholar</w:t>
      </w:r>
    </w:p>
    <w:p w14:paraId="067C4549" w14:textId="77777777" w:rsidR="00BB4A23" w:rsidRPr="00AD32FD" w:rsidRDefault="00000000">
      <w:pPr>
        <w:spacing w:after="40"/>
        <w:rPr>
          <w:color w:val="000000" w:themeColor="text1"/>
        </w:rPr>
      </w:pPr>
      <w:r w:rsidRPr="00AD32FD">
        <w:rPr>
          <w:color w:val="000000" w:themeColor="text1"/>
          <w:sz w:val="20"/>
          <w:szCs w:val="20"/>
        </w:rPr>
        <w:t xml:space="preserve">Proposes a three-stage smart-home forensic framework (identify common architecture → acquire → classify), validated on Samsung SmartThings and Xiaomi Mi Home. Studied as a direct methodological comparison point for our own </w:t>
      </w:r>
      <w:proofErr w:type="spellStart"/>
      <w:r w:rsidRPr="00AD32FD">
        <w:rPr>
          <w:color w:val="000000" w:themeColor="text1"/>
          <w:sz w:val="20"/>
          <w:szCs w:val="20"/>
        </w:rPr>
        <w:t>Acquire→Validate→Normalize</w:t>
      </w:r>
      <w:proofErr w:type="spellEnd"/>
      <w:r w:rsidRPr="00AD32FD">
        <w:rPr>
          <w:color w:val="000000" w:themeColor="text1"/>
          <w:sz w:val="20"/>
          <w:szCs w:val="20"/>
        </w:rPr>
        <w:t xml:space="preserve"> pipeline stages.</w:t>
      </w:r>
    </w:p>
    <w:p w14:paraId="687AA628" w14:textId="77777777" w:rsidR="00BB4A23" w:rsidRPr="00AD32FD" w:rsidRDefault="00000000">
      <w:pPr>
        <w:spacing w:after="160"/>
        <w:rPr>
          <w:color w:val="000000" w:themeColor="text1"/>
        </w:rPr>
      </w:pPr>
      <w:r w:rsidRPr="00AD32FD">
        <w:rPr>
          <w:color w:val="000000" w:themeColor="text1"/>
          <w:sz w:val="18"/>
          <w:szCs w:val="18"/>
        </w:rPr>
        <w:t xml:space="preserve">Link: </w:t>
      </w:r>
      <w:hyperlink r:id="rId15" w:history="1">
        <w:r w:rsidRPr="00AD32FD">
          <w:rPr>
            <w:color w:val="000000" w:themeColor="text1"/>
            <w:u w:val="single"/>
          </w:rPr>
          <w:t>semanticscholar.org (Kim &amp; Park)</w:t>
        </w:r>
      </w:hyperlink>
    </w:p>
    <w:p w14:paraId="444545EA" w14:textId="77777777" w:rsidR="00BB4A23" w:rsidRPr="00AD32FD" w:rsidRDefault="00000000">
      <w:pPr>
        <w:spacing w:before="160" w:after="40"/>
        <w:rPr>
          <w:color w:val="000000" w:themeColor="text1"/>
        </w:rPr>
      </w:pPr>
      <w:r w:rsidRPr="00AD32FD">
        <w:rPr>
          <w:b/>
          <w:bCs/>
          <w:color w:val="000000" w:themeColor="text1"/>
        </w:rPr>
        <w:t>10. Large Language Models in Digital Forensics: Capabilities, Challenges and Future Directions</w:t>
      </w:r>
    </w:p>
    <w:p w14:paraId="309805BD" w14:textId="77777777" w:rsidR="00BB4A23" w:rsidRPr="00AD32FD" w:rsidRDefault="00000000">
      <w:pPr>
        <w:spacing w:after="40"/>
        <w:rPr>
          <w:color w:val="000000" w:themeColor="text1"/>
        </w:rPr>
      </w:pPr>
      <w:r w:rsidRPr="00AD32FD">
        <w:rPr>
          <w:i/>
          <w:iCs/>
          <w:color w:val="000000" w:themeColor="text1"/>
          <w:sz w:val="18"/>
          <w:szCs w:val="18"/>
        </w:rPr>
        <w:t>Review article — ScienceDirect, Forensic Science International: Digital Investigation, 2024/2026</w:t>
      </w:r>
    </w:p>
    <w:p w14:paraId="5320F46F" w14:textId="77777777" w:rsidR="00BB4A23" w:rsidRPr="00AD32FD" w:rsidRDefault="00000000">
      <w:pPr>
        <w:spacing w:after="40"/>
        <w:rPr>
          <w:color w:val="000000" w:themeColor="text1"/>
        </w:rPr>
      </w:pPr>
      <w:r w:rsidRPr="00AD32FD">
        <w:rPr>
          <w:color w:val="000000" w:themeColor="text1"/>
          <w:sz w:val="20"/>
          <w:szCs w:val="20"/>
        </w:rPr>
        <w:t>Surveys how LLMs are being used across digital forensics, including LLM-invocation logging for forensic readiness (Chernyshev et al., 2024) and RAG-based timeline summarisation. Studied to justify the design of our AI layer and to identify what 'AI-assisted' should and should not mean in a forensic tool.</w:t>
      </w:r>
    </w:p>
    <w:p w14:paraId="324E18D2" w14:textId="77777777" w:rsidR="00BB4A23" w:rsidRPr="00AD32FD" w:rsidRDefault="00000000">
      <w:pPr>
        <w:spacing w:after="160"/>
        <w:rPr>
          <w:color w:val="000000" w:themeColor="text1"/>
        </w:rPr>
      </w:pPr>
      <w:r w:rsidRPr="00AD32FD">
        <w:rPr>
          <w:color w:val="000000" w:themeColor="text1"/>
          <w:sz w:val="18"/>
          <w:szCs w:val="18"/>
        </w:rPr>
        <w:t xml:space="preserve">Link: </w:t>
      </w:r>
      <w:hyperlink r:id="rId16" w:history="1">
        <w:r w:rsidRPr="00AD32FD">
          <w:rPr>
            <w:color w:val="000000" w:themeColor="text1"/>
            <w:u w:val="single"/>
          </w:rPr>
          <w:t>sciencedirect.com (LLMs in DF review)</w:t>
        </w:r>
      </w:hyperlink>
    </w:p>
    <w:p w14:paraId="791B099A" w14:textId="77777777" w:rsidR="00BB4A23" w:rsidRPr="00AD32FD" w:rsidRDefault="00000000">
      <w:pPr>
        <w:spacing w:before="160" w:after="40"/>
        <w:rPr>
          <w:color w:val="000000" w:themeColor="text1"/>
        </w:rPr>
      </w:pPr>
      <w:r w:rsidRPr="00AD32FD">
        <w:rPr>
          <w:b/>
          <w:bCs/>
          <w:color w:val="000000" w:themeColor="text1"/>
        </w:rPr>
        <w:t xml:space="preserve">11. </w:t>
      </w:r>
      <w:proofErr w:type="spellStart"/>
      <w:r w:rsidRPr="00AD32FD">
        <w:rPr>
          <w:b/>
          <w:bCs/>
          <w:color w:val="000000" w:themeColor="text1"/>
        </w:rPr>
        <w:t>ForensicLLM</w:t>
      </w:r>
      <w:proofErr w:type="spellEnd"/>
      <w:r w:rsidRPr="00AD32FD">
        <w:rPr>
          <w:b/>
          <w:bCs/>
          <w:color w:val="000000" w:themeColor="text1"/>
        </w:rPr>
        <w:t>: A Local Large Language Model for Digital Forensics</w:t>
      </w:r>
    </w:p>
    <w:p w14:paraId="1D4C4691" w14:textId="77777777" w:rsidR="00BB4A23" w:rsidRPr="00AD32FD" w:rsidRDefault="00000000">
      <w:pPr>
        <w:spacing w:after="40"/>
        <w:rPr>
          <w:color w:val="000000" w:themeColor="text1"/>
        </w:rPr>
      </w:pPr>
      <w:r w:rsidRPr="00AD32FD">
        <w:rPr>
          <w:i/>
          <w:iCs/>
          <w:color w:val="000000" w:themeColor="text1"/>
          <w:sz w:val="18"/>
          <w:szCs w:val="18"/>
        </w:rPr>
        <w:t>Journal article — Forensic Science International: Digital Investigation, 2025</w:t>
      </w:r>
    </w:p>
    <w:p w14:paraId="123BF8A1" w14:textId="77777777" w:rsidR="00BB4A23" w:rsidRPr="00AD32FD" w:rsidRDefault="00000000">
      <w:pPr>
        <w:spacing w:after="40"/>
        <w:rPr>
          <w:color w:val="000000" w:themeColor="text1"/>
        </w:rPr>
      </w:pPr>
      <w:r w:rsidRPr="00AD32FD">
        <w:rPr>
          <w:color w:val="000000" w:themeColor="text1"/>
          <w:sz w:val="20"/>
          <w:szCs w:val="20"/>
        </w:rPr>
        <w:t xml:space="preserve">Fine-tunes a local LLaMA-3.1-8B model specifically for digital-forensics question answering, and reviews prior work (Scanlon et al. 2023 on ChatGPT's forensic limitations; Michelet &amp; Breitinger 2023 on local vs. cloud LLM report generation). Directly informed our decision to run a small, local model (Qwen 9B via </w:t>
      </w:r>
      <w:proofErr w:type="spellStart"/>
      <w:r w:rsidRPr="00AD32FD">
        <w:rPr>
          <w:color w:val="000000" w:themeColor="text1"/>
          <w:sz w:val="20"/>
          <w:szCs w:val="20"/>
        </w:rPr>
        <w:t>Ollama</w:t>
      </w:r>
      <w:proofErr w:type="spellEnd"/>
      <w:r w:rsidRPr="00AD32FD">
        <w:rPr>
          <w:color w:val="000000" w:themeColor="text1"/>
          <w:sz w:val="20"/>
          <w:szCs w:val="20"/>
        </w:rPr>
        <w:t>) instead of a cloud LLM, for both confidentiality and reliability reasons.</w:t>
      </w:r>
    </w:p>
    <w:p w14:paraId="21BDE4B3" w14:textId="77777777" w:rsidR="00BB4A23" w:rsidRPr="00AD32FD" w:rsidRDefault="00000000">
      <w:pPr>
        <w:spacing w:after="160"/>
        <w:rPr>
          <w:color w:val="000000" w:themeColor="text1"/>
        </w:rPr>
      </w:pPr>
      <w:r w:rsidRPr="00AD32FD">
        <w:rPr>
          <w:color w:val="000000" w:themeColor="text1"/>
          <w:sz w:val="18"/>
          <w:szCs w:val="18"/>
        </w:rPr>
        <w:t xml:space="preserve">Link: </w:t>
      </w:r>
      <w:hyperlink r:id="rId17" w:history="1">
        <w:r w:rsidRPr="00AD32FD">
          <w:rPr>
            <w:color w:val="000000" w:themeColor="text1"/>
            <w:u w:val="single"/>
          </w:rPr>
          <w:t>sciencedirect.com (</w:t>
        </w:r>
        <w:proofErr w:type="spellStart"/>
        <w:r w:rsidRPr="00AD32FD">
          <w:rPr>
            <w:color w:val="000000" w:themeColor="text1"/>
            <w:u w:val="single"/>
          </w:rPr>
          <w:t>ForensicLLM</w:t>
        </w:r>
        <w:proofErr w:type="spellEnd"/>
        <w:r w:rsidRPr="00AD32FD">
          <w:rPr>
            <w:color w:val="000000" w:themeColor="text1"/>
            <w:u w:val="single"/>
          </w:rPr>
          <w:t>, 2025)</w:t>
        </w:r>
      </w:hyperlink>
    </w:p>
    <w:p w14:paraId="0CFB60F3" w14:textId="77777777" w:rsidR="00BB4A23" w:rsidRPr="00AD32FD" w:rsidRDefault="00000000">
      <w:pPr>
        <w:spacing w:before="160" w:after="40"/>
        <w:rPr>
          <w:color w:val="000000" w:themeColor="text1"/>
        </w:rPr>
      </w:pPr>
      <w:r w:rsidRPr="00AD32FD">
        <w:rPr>
          <w:b/>
          <w:bCs/>
          <w:color w:val="000000" w:themeColor="text1"/>
        </w:rPr>
        <w:t>12. NIST SP 800-86 — Guide to Integrating Forensic Techniques into Incident Response</w:t>
      </w:r>
    </w:p>
    <w:p w14:paraId="22C30D6A" w14:textId="77777777" w:rsidR="00BB4A23" w:rsidRPr="00AD32FD" w:rsidRDefault="00000000">
      <w:pPr>
        <w:spacing w:after="40"/>
        <w:rPr>
          <w:color w:val="000000" w:themeColor="text1"/>
        </w:rPr>
      </w:pPr>
      <w:r w:rsidRPr="00AD32FD">
        <w:rPr>
          <w:i/>
          <w:iCs/>
          <w:color w:val="000000" w:themeColor="text1"/>
          <w:sz w:val="18"/>
          <w:szCs w:val="18"/>
        </w:rPr>
        <w:t>National Institute of Standards and Technology</w:t>
      </w:r>
    </w:p>
    <w:p w14:paraId="2FE66BC2" w14:textId="77777777" w:rsidR="00BB4A23" w:rsidRPr="00AD32FD" w:rsidRDefault="00000000">
      <w:pPr>
        <w:spacing w:after="40"/>
        <w:rPr>
          <w:color w:val="000000" w:themeColor="text1"/>
        </w:rPr>
      </w:pPr>
      <w:r w:rsidRPr="00AD32FD">
        <w:rPr>
          <w:color w:val="000000" w:themeColor="text1"/>
          <w:sz w:val="20"/>
          <w:szCs w:val="20"/>
        </w:rPr>
        <w:t>Defines the standard acquire → preserve → analyse → report forensic lifecycle. Our end-to-end pipeline (Acquire→Validate→Normalize→Analyse→Preserve→Deliver→Investigate) is built as an IoT-specific extension of this lifecycle.</w:t>
      </w:r>
    </w:p>
    <w:p w14:paraId="35C0B98F" w14:textId="77777777" w:rsidR="00BB4A23" w:rsidRPr="00AD32FD" w:rsidRDefault="00000000">
      <w:pPr>
        <w:spacing w:after="160"/>
        <w:rPr>
          <w:color w:val="000000" w:themeColor="text1"/>
        </w:rPr>
      </w:pPr>
      <w:r w:rsidRPr="00AD32FD">
        <w:rPr>
          <w:color w:val="000000" w:themeColor="text1"/>
          <w:sz w:val="18"/>
          <w:szCs w:val="18"/>
        </w:rPr>
        <w:t xml:space="preserve">Link: </w:t>
      </w:r>
      <w:hyperlink r:id="rId18" w:history="1">
        <w:r w:rsidRPr="00AD32FD">
          <w:rPr>
            <w:color w:val="000000" w:themeColor="text1"/>
            <w:u w:val="single"/>
          </w:rPr>
          <w:t>csrc.nist.gov/pubs/</w:t>
        </w:r>
        <w:proofErr w:type="spellStart"/>
        <w:r w:rsidRPr="00AD32FD">
          <w:rPr>
            <w:color w:val="000000" w:themeColor="text1"/>
            <w:u w:val="single"/>
          </w:rPr>
          <w:t>sp</w:t>
        </w:r>
        <w:proofErr w:type="spellEnd"/>
        <w:r w:rsidRPr="00AD32FD">
          <w:rPr>
            <w:color w:val="000000" w:themeColor="text1"/>
            <w:u w:val="single"/>
          </w:rPr>
          <w:t>/800/86/final</w:t>
        </w:r>
      </w:hyperlink>
    </w:p>
    <w:p w14:paraId="3D9B72C0" w14:textId="77777777" w:rsidR="00BB4A23" w:rsidRPr="00AD32FD" w:rsidRDefault="00000000">
      <w:pPr>
        <w:spacing w:before="160" w:after="40"/>
        <w:rPr>
          <w:color w:val="000000" w:themeColor="text1"/>
        </w:rPr>
      </w:pPr>
      <w:r w:rsidRPr="00AD32FD">
        <w:rPr>
          <w:b/>
          <w:bCs/>
          <w:color w:val="000000" w:themeColor="text1"/>
        </w:rPr>
        <w:t>13. NIST SP 800-92 — Guide to Computer Security Log Management</w:t>
      </w:r>
    </w:p>
    <w:p w14:paraId="0F8DF463" w14:textId="77777777" w:rsidR="00BB4A23" w:rsidRPr="00AD32FD" w:rsidRDefault="00000000">
      <w:pPr>
        <w:spacing w:after="40"/>
        <w:rPr>
          <w:color w:val="000000" w:themeColor="text1"/>
        </w:rPr>
      </w:pPr>
      <w:r w:rsidRPr="00AD32FD">
        <w:rPr>
          <w:i/>
          <w:iCs/>
          <w:color w:val="000000" w:themeColor="text1"/>
          <w:sz w:val="18"/>
          <w:szCs w:val="18"/>
        </w:rPr>
        <w:t>National Institute of Standards and Technology</w:t>
      </w:r>
    </w:p>
    <w:p w14:paraId="53E53C20" w14:textId="77777777" w:rsidR="00BB4A23" w:rsidRPr="00AD32FD" w:rsidRDefault="00000000">
      <w:pPr>
        <w:spacing w:after="40"/>
        <w:rPr>
          <w:color w:val="000000" w:themeColor="text1"/>
        </w:rPr>
      </w:pPr>
      <w:r w:rsidRPr="00AD32FD">
        <w:rPr>
          <w:color w:val="000000" w:themeColor="text1"/>
          <w:sz w:val="20"/>
          <w:szCs w:val="20"/>
        </w:rPr>
        <w:t>Defines log management, retention, and normalization best practice. Used as the standards basis for our canonical event model and evidence-store design.</w:t>
      </w:r>
    </w:p>
    <w:p w14:paraId="1C408061" w14:textId="77777777" w:rsidR="00BB4A23" w:rsidRPr="00AD32FD" w:rsidRDefault="00000000">
      <w:pPr>
        <w:spacing w:after="160"/>
        <w:rPr>
          <w:color w:val="000000" w:themeColor="text1"/>
        </w:rPr>
      </w:pPr>
      <w:r w:rsidRPr="00AD32FD">
        <w:rPr>
          <w:color w:val="000000" w:themeColor="text1"/>
          <w:sz w:val="18"/>
          <w:szCs w:val="18"/>
        </w:rPr>
        <w:t xml:space="preserve">Link: </w:t>
      </w:r>
      <w:hyperlink r:id="rId19" w:history="1">
        <w:r w:rsidRPr="00AD32FD">
          <w:rPr>
            <w:color w:val="000000" w:themeColor="text1"/>
            <w:u w:val="single"/>
          </w:rPr>
          <w:t>csrc.nist.gov/pubs/</w:t>
        </w:r>
        <w:proofErr w:type="spellStart"/>
        <w:r w:rsidRPr="00AD32FD">
          <w:rPr>
            <w:color w:val="000000" w:themeColor="text1"/>
            <w:u w:val="single"/>
          </w:rPr>
          <w:t>sp</w:t>
        </w:r>
        <w:proofErr w:type="spellEnd"/>
        <w:r w:rsidRPr="00AD32FD">
          <w:rPr>
            <w:color w:val="000000" w:themeColor="text1"/>
            <w:u w:val="single"/>
          </w:rPr>
          <w:t>/800/92/final</w:t>
        </w:r>
      </w:hyperlink>
    </w:p>
    <w:p w14:paraId="7189BA2A" w14:textId="77777777" w:rsidR="00BB4A23" w:rsidRPr="00AD32FD" w:rsidRDefault="00000000">
      <w:pPr>
        <w:pStyle w:val="Heading1"/>
        <w:spacing w:before="320"/>
        <w:rPr>
          <w:color w:val="000000" w:themeColor="text1"/>
        </w:rPr>
      </w:pPr>
      <w:r w:rsidRPr="00AD32FD">
        <w:rPr>
          <w:color w:val="000000" w:themeColor="text1"/>
        </w:rPr>
        <w:lastRenderedPageBreak/>
        <w:t>2. Detailed Literature Review</w:t>
      </w:r>
    </w:p>
    <w:p w14:paraId="4BB7CE8D" w14:textId="77777777" w:rsidR="00BB4A23" w:rsidRPr="00AD32FD" w:rsidRDefault="00000000">
      <w:pPr>
        <w:pStyle w:val="Heading2"/>
        <w:spacing w:before="220"/>
        <w:rPr>
          <w:color w:val="000000" w:themeColor="text1"/>
        </w:rPr>
      </w:pPr>
      <w:r w:rsidRPr="00AD32FD">
        <w:rPr>
          <w:color w:val="000000" w:themeColor="text1"/>
        </w:rPr>
        <w:t>2.1 IoT and Smart-Home Forensic Frameworks</w:t>
      </w:r>
    </w:p>
    <w:p w14:paraId="657BC346" w14:textId="77777777" w:rsidR="00BB4A23" w:rsidRPr="00AD32FD" w:rsidRDefault="00000000">
      <w:pPr>
        <w:spacing w:after="140"/>
        <w:jc w:val="both"/>
        <w:rPr>
          <w:color w:val="000000" w:themeColor="text1"/>
        </w:rPr>
      </w:pPr>
      <w:r w:rsidRPr="00AD32FD">
        <w:rPr>
          <w:color w:val="000000" w:themeColor="text1"/>
        </w:rPr>
        <w:t xml:space="preserve">The foundation of </w:t>
      </w:r>
      <w:proofErr w:type="spellStart"/>
      <w:r w:rsidRPr="00AD32FD">
        <w:rPr>
          <w:color w:val="000000" w:themeColor="text1"/>
        </w:rPr>
        <w:t>Traceveil's</w:t>
      </w:r>
      <w:proofErr w:type="spellEnd"/>
      <w:r w:rsidRPr="00AD32FD">
        <w:rPr>
          <w:color w:val="000000" w:themeColor="text1"/>
        </w:rPr>
        <w:t xml:space="preserve"> problem statement rests on a well-documented finding across [4], [5], [6], [7], and [9]: smart-home forensic investigation is obstructed by device heterogeneity, not by a lack of general forensic theory. Kim et al. [4] demonstrate this concretely by validating their acquisition methodology across four different vendor ecosystems — Samsung SmartThings, </w:t>
      </w:r>
      <w:proofErr w:type="spellStart"/>
      <w:r w:rsidRPr="00AD32FD">
        <w:rPr>
          <w:color w:val="000000" w:themeColor="text1"/>
        </w:rPr>
        <w:t>Aqara</w:t>
      </w:r>
      <w:proofErr w:type="spellEnd"/>
      <w:r w:rsidRPr="00AD32FD">
        <w:rPr>
          <w:color w:val="000000" w:themeColor="text1"/>
        </w:rPr>
        <w:t xml:space="preserve">, QNAP NAS, and Hikvision — and showing that each requires a different extraction approach because of proprietary storage formats and clock drift. The </w:t>
      </w:r>
      <w:proofErr w:type="spellStart"/>
      <w:r w:rsidRPr="00AD32FD">
        <w:rPr>
          <w:color w:val="000000" w:themeColor="text1"/>
        </w:rPr>
        <w:t>InCACCT</w:t>
      </w:r>
      <w:proofErr w:type="spellEnd"/>
      <w:r w:rsidRPr="00AD32FD">
        <w:rPr>
          <w:color w:val="000000" w:themeColor="text1"/>
        </w:rPr>
        <w:t xml:space="preserve"> 2023 review [5] and the TLDKS systematic literature review [7] both independently confirm this at a survey level: the SLR in particular screens four major databases (Springer, IEEE Xplore, ACM Digital Library, ScienceDirect) and still concludes that the field organizes itself around device categories (smart speakers, wearables, smart-things) rather than a shared data model. Kim &amp; Park [9] and Abdel-Fattah et al. [6] go one step further by proposing three-stage and framework-based methodologies respectively, both validated on the same two testbeds (Samsung SmartThings and Xiaomi Mi Home), which shows the field has largely converged on acquisition-and-classification as the unit of contribution, rather than cross-source normalization.</w:t>
      </w:r>
    </w:p>
    <w:p w14:paraId="57FF3C47" w14:textId="77777777" w:rsidR="00BB4A23" w:rsidRPr="00AD32FD" w:rsidRDefault="00000000">
      <w:pPr>
        <w:spacing w:after="140"/>
        <w:jc w:val="both"/>
        <w:rPr>
          <w:color w:val="000000" w:themeColor="text1"/>
        </w:rPr>
      </w:pPr>
      <w:r w:rsidRPr="00AD32FD">
        <w:rPr>
          <w:color w:val="000000" w:themeColor="text1"/>
        </w:rPr>
        <w:t xml:space="preserve">Taken together, this cluster establishes two things for our project: first, that the fragmentation problem stated on our Review-1 slide is not an assumption but a repeatedly observed finding in current literature; and second, that no framework in this cluster proposes a single canonical schema that both historical (dataset) evidence and live device telemetry can be normalized into — which is exactly the architectural gap </w:t>
      </w:r>
      <w:proofErr w:type="spellStart"/>
      <w:r w:rsidRPr="00AD32FD">
        <w:rPr>
          <w:color w:val="000000" w:themeColor="text1"/>
        </w:rPr>
        <w:t>Traceveil's</w:t>
      </w:r>
      <w:proofErr w:type="spellEnd"/>
      <w:r w:rsidRPr="00AD32FD">
        <w:rPr>
          <w:color w:val="000000" w:themeColor="text1"/>
        </w:rPr>
        <w:t xml:space="preserve"> Canonical Event Model is designed to close.</w:t>
      </w:r>
    </w:p>
    <w:p w14:paraId="75B8668D" w14:textId="77777777" w:rsidR="00BB4A23" w:rsidRPr="00AD32FD" w:rsidRDefault="00000000">
      <w:pPr>
        <w:pStyle w:val="Heading2"/>
        <w:spacing w:before="220"/>
        <w:rPr>
          <w:color w:val="000000" w:themeColor="text1"/>
        </w:rPr>
      </w:pPr>
      <w:r w:rsidRPr="00AD32FD">
        <w:rPr>
          <w:color w:val="000000" w:themeColor="text1"/>
        </w:rPr>
        <w:t>2.2 Benchmark Datasets for IoT Security and Digital Forensics</w:t>
      </w:r>
    </w:p>
    <w:p w14:paraId="3E432B9B" w14:textId="77777777" w:rsidR="00BB4A23" w:rsidRPr="00AD32FD" w:rsidRDefault="00000000">
      <w:pPr>
        <w:spacing w:after="140"/>
        <w:jc w:val="both"/>
        <w:rPr>
          <w:color w:val="000000" w:themeColor="text1"/>
        </w:rPr>
      </w:pPr>
      <w:r w:rsidRPr="00AD32FD">
        <w:rPr>
          <w:color w:val="000000" w:themeColor="text1"/>
        </w:rPr>
        <w:t xml:space="preserve">Three dataset papers were studied to understand what kind of evidence is realistically available for a project at our scale: </w:t>
      </w:r>
      <w:proofErr w:type="spellStart"/>
      <w:r w:rsidRPr="00AD32FD">
        <w:rPr>
          <w:color w:val="000000" w:themeColor="text1"/>
        </w:rPr>
        <w:t>TON_IoT</w:t>
      </w:r>
      <w:proofErr w:type="spellEnd"/>
      <w:r w:rsidRPr="00AD32FD">
        <w:rPr>
          <w:color w:val="000000" w:themeColor="text1"/>
        </w:rPr>
        <w:t xml:space="preserve"> [1], CICIoT2023 [2], and IoT-CAD [3]. </w:t>
      </w:r>
      <w:proofErr w:type="spellStart"/>
      <w:r w:rsidRPr="00AD32FD">
        <w:rPr>
          <w:color w:val="000000" w:themeColor="text1"/>
        </w:rPr>
        <w:t>TON_IoT</w:t>
      </w:r>
      <w:proofErr w:type="spellEnd"/>
      <w:r w:rsidRPr="00AD32FD">
        <w:rPr>
          <w:color w:val="000000" w:themeColor="text1"/>
        </w:rPr>
        <w:t xml:space="preserve"> [1] and CICIoT2023 [2] are both intrusion-detection datasets — built primarily to train and evaluate machine-learning classifiers — but each is large, realistic, and well-documented enough to be repurposed as forensic batch evidence, which is exactly how </w:t>
      </w:r>
      <w:proofErr w:type="spellStart"/>
      <w:r w:rsidRPr="00AD32FD">
        <w:rPr>
          <w:color w:val="000000" w:themeColor="text1"/>
        </w:rPr>
        <w:t>Traceveil</w:t>
      </w:r>
      <w:proofErr w:type="spellEnd"/>
      <w:r w:rsidRPr="00AD32FD">
        <w:rPr>
          <w:color w:val="000000" w:themeColor="text1"/>
        </w:rPr>
        <w:t xml:space="preserve"> uses them (per our Objectives &amp; Scope slide). CICIoT2023 [2] is particularly relevant because its testbed of 105 real devices is explicitly built to resemble a smart-home topology, which matches our project's domain closely.</w:t>
      </w:r>
    </w:p>
    <w:p w14:paraId="31ECA0DE" w14:textId="77777777" w:rsidR="00BB4A23" w:rsidRPr="00AD32FD" w:rsidRDefault="00000000">
      <w:pPr>
        <w:spacing w:after="140"/>
        <w:jc w:val="both"/>
        <w:rPr>
          <w:color w:val="000000" w:themeColor="text1"/>
        </w:rPr>
      </w:pPr>
      <w:r w:rsidRPr="00AD32FD">
        <w:rPr>
          <w:color w:val="000000" w:themeColor="text1"/>
        </w:rPr>
        <w:t xml:space="preserve">IoT-CAD [3], published in 2025 — after our Review-1 slide was prepared — is the most directly comparable prior work we found. It combines memory, disk, process, system-call, and network traces from real and simulated IoT devices, and evaluates them using both centralized and federated deep learning for cyberattack detection and attribution. This is the closest existing attempt at combining 'digital forensics' and 'AI' in an IoT context. However, its evaluation is entirely classifier-driven (accuracy/attribution scores from deep learning models), not investigator-facing — it does not produce a reproducible timeline, a canonical cross-device event model, or an explainable, rule-based risk score. Studying IoT-CAD sharpened our own positioning: </w:t>
      </w:r>
      <w:proofErr w:type="spellStart"/>
      <w:r w:rsidRPr="00AD32FD">
        <w:rPr>
          <w:color w:val="000000" w:themeColor="text1"/>
        </w:rPr>
        <w:t>Traceveil</w:t>
      </w:r>
      <w:proofErr w:type="spellEnd"/>
      <w:r w:rsidRPr="00AD32FD">
        <w:rPr>
          <w:color w:val="000000" w:themeColor="text1"/>
        </w:rPr>
        <w:t xml:space="preserve"> is not competing to build a better attack classifier, but to build the investigator-facing correlation and timeline layer that sits on top of exactly this kind of evidence.</w:t>
      </w:r>
    </w:p>
    <w:p w14:paraId="5DE42A08" w14:textId="77777777" w:rsidR="00BB4A23" w:rsidRPr="00AD32FD" w:rsidRDefault="00000000">
      <w:pPr>
        <w:pStyle w:val="Heading2"/>
        <w:spacing w:before="220"/>
        <w:rPr>
          <w:color w:val="000000" w:themeColor="text1"/>
        </w:rPr>
      </w:pPr>
      <w:r w:rsidRPr="00AD32FD">
        <w:rPr>
          <w:color w:val="000000" w:themeColor="text1"/>
        </w:rPr>
        <w:t>2.3 AI- and LLM-Assisted Digital Forensics</w:t>
      </w:r>
    </w:p>
    <w:p w14:paraId="152D5664" w14:textId="77777777" w:rsidR="00BB4A23" w:rsidRPr="00AD32FD" w:rsidRDefault="00000000">
      <w:pPr>
        <w:spacing w:after="140"/>
        <w:jc w:val="both"/>
        <w:rPr>
          <w:color w:val="000000" w:themeColor="text1"/>
        </w:rPr>
      </w:pPr>
      <w:r w:rsidRPr="00AD32FD">
        <w:rPr>
          <w:color w:val="000000" w:themeColor="text1"/>
        </w:rPr>
        <w:t xml:space="preserve">This cluster [10], [11] directly shaped the design of </w:t>
      </w:r>
      <w:proofErr w:type="spellStart"/>
      <w:r w:rsidRPr="00AD32FD">
        <w:rPr>
          <w:color w:val="000000" w:themeColor="text1"/>
        </w:rPr>
        <w:t>Traceveil's</w:t>
      </w:r>
      <w:proofErr w:type="spellEnd"/>
      <w:r w:rsidRPr="00AD32FD">
        <w:rPr>
          <w:color w:val="000000" w:themeColor="text1"/>
        </w:rPr>
        <w:t xml:space="preserve"> AI layer. The review of LLMs in digital forensics [10] surveys work such as Chernyshev et al. (2024) on structured LLM-invocation logging for forensic readiness, and RAG-based timeline summarisation research, showing that natural-language interfaces are becoming a genuine capability for investigators to query forensic data conversationally. </w:t>
      </w:r>
      <w:proofErr w:type="spellStart"/>
      <w:r w:rsidRPr="00AD32FD">
        <w:rPr>
          <w:color w:val="000000" w:themeColor="text1"/>
        </w:rPr>
        <w:t>ForensicLLM</w:t>
      </w:r>
      <w:proofErr w:type="spellEnd"/>
      <w:r w:rsidRPr="00AD32FD">
        <w:rPr>
          <w:color w:val="000000" w:themeColor="text1"/>
        </w:rPr>
        <w:t xml:space="preserve"> [11] goes further by reviewing Scanlon et al.'s (2023) empirical finding that ChatGPT is useful for regex generation, keyword search, and summarisation, but is prone to hallucination and non-deterministic output when asked to establish forensic facts — and Michelet &amp; Breitinger's (2023) comparison of cloud (ChatGPT-3.5) versus local (LLaMA-2-13B) models for forensic report generation, which found the cloud model more accurate but the local model preferable for confidentiality.</w:t>
      </w:r>
    </w:p>
    <w:p w14:paraId="0757F9DF" w14:textId="77777777" w:rsidR="00BB4A23" w:rsidRPr="00AD32FD" w:rsidRDefault="00000000">
      <w:pPr>
        <w:spacing w:after="140"/>
        <w:jc w:val="both"/>
        <w:rPr>
          <w:color w:val="000000" w:themeColor="text1"/>
        </w:rPr>
      </w:pPr>
      <w:r w:rsidRPr="00AD32FD">
        <w:rPr>
          <w:color w:val="000000" w:themeColor="text1"/>
        </w:rPr>
        <w:t xml:space="preserve">These findings directly justify two specific design decisions in </w:t>
      </w:r>
      <w:proofErr w:type="spellStart"/>
      <w:r w:rsidRPr="00AD32FD">
        <w:rPr>
          <w:color w:val="000000" w:themeColor="text1"/>
        </w:rPr>
        <w:t>Traceveil</w:t>
      </w:r>
      <w:proofErr w:type="spellEnd"/>
      <w:r w:rsidRPr="00AD32FD">
        <w:rPr>
          <w:color w:val="000000" w:themeColor="text1"/>
        </w:rPr>
        <w:t xml:space="preserve">: (1) the AI layer runs locally (Qwen 9B, quantized, via </w:t>
      </w:r>
      <w:proofErr w:type="spellStart"/>
      <w:r w:rsidRPr="00AD32FD">
        <w:rPr>
          <w:color w:val="000000" w:themeColor="text1"/>
        </w:rPr>
        <w:t>Ollama</w:t>
      </w:r>
      <w:proofErr w:type="spellEnd"/>
      <w:r w:rsidRPr="00AD32FD">
        <w:rPr>
          <w:color w:val="000000" w:themeColor="text1"/>
        </w:rPr>
        <w:t xml:space="preserve">) rather than calling a cloud API, so case evidence never leaves the machine; and (2) the AI is </w:t>
      </w:r>
      <w:r w:rsidRPr="00AD32FD">
        <w:rPr>
          <w:color w:val="000000" w:themeColor="text1"/>
        </w:rPr>
        <w:lastRenderedPageBreak/>
        <w:t>restricted by design to explaining results that the deterministic Python engine has already computed — it is never permitted to calculate a risk score, correlation, or detection verdict itself. This is stated explicitly in our architecture as the 'Forensic Authority Mandate' and is a direct, literature-backed response to the hallucination risk documented in [10] and [11].</w:t>
      </w:r>
    </w:p>
    <w:p w14:paraId="551994AF" w14:textId="77777777" w:rsidR="00BB4A23" w:rsidRPr="00AD32FD" w:rsidRDefault="00000000">
      <w:pPr>
        <w:pStyle w:val="Heading2"/>
        <w:spacing w:before="220"/>
        <w:rPr>
          <w:color w:val="000000" w:themeColor="text1"/>
        </w:rPr>
      </w:pPr>
      <w:r w:rsidRPr="00AD32FD">
        <w:rPr>
          <w:color w:val="000000" w:themeColor="text1"/>
        </w:rPr>
        <w:t>2.4 Standards</w:t>
      </w:r>
    </w:p>
    <w:p w14:paraId="5169F203" w14:textId="77777777" w:rsidR="00BB4A23" w:rsidRPr="00AD32FD" w:rsidRDefault="00000000">
      <w:pPr>
        <w:spacing w:after="140"/>
        <w:jc w:val="both"/>
        <w:rPr>
          <w:color w:val="000000" w:themeColor="text1"/>
        </w:rPr>
      </w:pPr>
      <w:r w:rsidRPr="00AD32FD">
        <w:rPr>
          <w:color w:val="000000" w:themeColor="text1"/>
        </w:rPr>
        <w:t xml:space="preserve">NIST SP 800-86 [12] and SP 800-92 [13] provide the two standards our pipeline is built to satisfy. SP 800-86 defines the acquire → preserve → analyse → report lifecycle that our own </w:t>
      </w:r>
      <w:proofErr w:type="spellStart"/>
      <w:r w:rsidRPr="00AD32FD">
        <w:rPr>
          <w:color w:val="000000" w:themeColor="text1"/>
        </w:rPr>
        <w:t>Acquire→Validate→Normalize→Analyse→Preserve→Deliver→Investigate</w:t>
      </w:r>
      <w:proofErr w:type="spellEnd"/>
      <w:r w:rsidRPr="00AD32FD">
        <w:rPr>
          <w:color w:val="000000" w:themeColor="text1"/>
        </w:rPr>
        <w:t xml:space="preserve"> pipeline extends with two additional, IoT-specific stages (Validate and Normalize) to handle the heterogeneity problem documented in Section 2.1. SP 800-92 defines log management and normalization best practice, which underpins the design of our canonical event model and evidence store.</w:t>
      </w:r>
    </w:p>
    <w:p w14:paraId="68764144" w14:textId="77777777" w:rsidR="00BB4A23" w:rsidRPr="00AD32FD" w:rsidRDefault="00000000">
      <w:pPr>
        <w:rPr>
          <w:color w:val="000000" w:themeColor="text1"/>
        </w:rPr>
      </w:pPr>
      <w:r w:rsidRPr="00AD32FD">
        <w:rPr>
          <w:color w:val="000000" w:themeColor="text1"/>
        </w:rPr>
        <w:br w:type="page"/>
      </w:r>
    </w:p>
    <w:p w14:paraId="1BB2C84A" w14:textId="77777777" w:rsidR="00BB4A23" w:rsidRPr="00AD32FD" w:rsidRDefault="00000000">
      <w:pPr>
        <w:pStyle w:val="Heading1"/>
        <w:spacing w:before="320"/>
        <w:rPr>
          <w:color w:val="000000" w:themeColor="text1"/>
        </w:rPr>
      </w:pPr>
      <w:r w:rsidRPr="00AD32FD">
        <w:rPr>
          <w:color w:val="000000" w:themeColor="text1"/>
        </w:rPr>
        <w:lastRenderedPageBreak/>
        <w:t xml:space="preserve">3. What Makes </w:t>
      </w:r>
      <w:proofErr w:type="spellStart"/>
      <w:r w:rsidRPr="00AD32FD">
        <w:rPr>
          <w:color w:val="000000" w:themeColor="text1"/>
        </w:rPr>
        <w:t>Traceveil</w:t>
      </w:r>
      <w:proofErr w:type="spellEnd"/>
      <w:r w:rsidRPr="00AD32FD">
        <w:rPr>
          <w:color w:val="000000" w:themeColor="text1"/>
        </w:rPr>
        <w:t xml:space="preserve"> Different from Existing Solutions in the Market</w:t>
      </w:r>
    </w:p>
    <w:p w14:paraId="34BA78A7" w14:textId="77777777" w:rsidR="00BB4A23" w:rsidRPr="00AD32FD" w:rsidRDefault="00000000">
      <w:pPr>
        <w:spacing w:after="140"/>
        <w:jc w:val="both"/>
        <w:rPr>
          <w:color w:val="000000" w:themeColor="text1"/>
        </w:rPr>
      </w:pPr>
      <w:r w:rsidRPr="00AD32FD">
        <w:rPr>
          <w:color w:val="000000" w:themeColor="text1"/>
        </w:rPr>
        <w:t xml:space="preserve">The table below compares </w:t>
      </w:r>
      <w:proofErr w:type="spellStart"/>
      <w:r w:rsidRPr="00AD32FD">
        <w:rPr>
          <w:color w:val="000000" w:themeColor="text1"/>
        </w:rPr>
        <w:t>Traceveil</w:t>
      </w:r>
      <w:proofErr w:type="spellEnd"/>
      <w:r w:rsidRPr="00AD32FD">
        <w:rPr>
          <w:color w:val="000000" w:themeColor="text1"/>
        </w:rPr>
        <w:t xml:space="preserve"> against the two categories of solutions already available in the market — enterprise IoT security platforms (Microsoft Defender for IoT, AWS IoT Device Defender) and general-purpose SIEM/investigation platforms (Splunk Enterprise Security, IBM </w:t>
      </w:r>
      <w:proofErr w:type="spellStart"/>
      <w:r w:rsidRPr="00AD32FD">
        <w:rPr>
          <w:color w:val="000000" w:themeColor="text1"/>
        </w:rPr>
        <w:t>QRadar</w:t>
      </w:r>
      <w:proofErr w:type="spellEnd"/>
      <w:r w:rsidRPr="00AD32FD">
        <w:rPr>
          <w:color w:val="000000" w:themeColor="text1"/>
        </w:rPr>
        <w:t>) — capability by capability.</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3269"/>
        <w:gridCol w:w="3268"/>
        <w:gridCol w:w="2044"/>
      </w:tblGrid>
      <w:tr w:rsidR="00BB4A23" w:rsidRPr="00AD32FD" w14:paraId="604FC235" w14:textId="77777777" w:rsidTr="00AD32FD">
        <w:tblPrEx>
          <w:tblCellMar>
            <w:top w:w="0" w:type="dxa"/>
            <w:bottom w:w="0" w:type="dxa"/>
          </w:tblCellMar>
        </w:tblPrEx>
        <w:trPr>
          <w:cantSplit/>
          <w:tblHeader/>
        </w:trPr>
        <w:tc>
          <w:tcPr>
            <w:tcW w:w="1900" w:type="dxa"/>
            <w:shd w:val="clear" w:color="auto" w:fill="FFFFFF" w:themeFill="background1"/>
            <w:tcMar>
              <w:top w:w="90" w:type="dxa"/>
              <w:left w:w="110" w:type="dxa"/>
              <w:bottom w:w="90" w:type="dxa"/>
              <w:right w:w="110" w:type="dxa"/>
            </w:tcMar>
            <w:vAlign w:val="center"/>
          </w:tcPr>
          <w:p w14:paraId="70B37A3A" w14:textId="77777777" w:rsidR="00BB4A23" w:rsidRPr="00AD32FD" w:rsidRDefault="00000000">
            <w:pPr>
              <w:rPr>
                <w:color w:val="000000" w:themeColor="text1"/>
              </w:rPr>
            </w:pPr>
            <w:r w:rsidRPr="00AD32FD">
              <w:rPr>
                <w:b/>
                <w:bCs/>
                <w:color w:val="000000" w:themeColor="text1"/>
                <w:sz w:val="17"/>
                <w:szCs w:val="17"/>
              </w:rPr>
              <w:t>Capability</w:t>
            </w:r>
          </w:p>
        </w:tc>
        <w:tc>
          <w:tcPr>
            <w:tcW w:w="3400" w:type="dxa"/>
            <w:shd w:val="clear" w:color="auto" w:fill="FFFFFF" w:themeFill="background1"/>
            <w:tcMar>
              <w:top w:w="90" w:type="dxa"/>
              <w:left w:w="110" w:type="dxa"/>
              <w:bottom w:w="90" w:type="dxa"/>
              <w:right w:w="110" w:type="dxa"/>
            </w:tcMar>
            <w:vAlign w:val="center"/>
          </w:tcPr>
          <w:p w14:paraId="306501ED" w14:textId="77777777" w:rsidR="00BB4A23" w:rsidRPr="00AD32FD" w:rsidRDefault="00000000">
            <w:pPr>
              <w:rPr>
                <w:color w:val="000000" w:themeColor="text1"/>
              </w:rPr>
            </w:pPr>
            <w:r w:rsidRPr="00AD32FD">
              <w:rPr>
                <w:b/>
                <w:bCs/>
                <w:color w:val="000000" w:themeColor="text1"/>
                <w:sz w:val="17"/>
                <w:szCs w:val="17"/>
              </w:rPr>
              <w:t>Enterprise IoT Platforms</w:t>
            </w:r>
          </w:p>
        </w:tc>
        <w:tc>
          <w:tcPr>
            <w:tcW w:w="3400" w:type="dxa"/>
            <w:shd w:val="clear" w:color="auto" w:fill="FFFFFF" w:themeFill="background1"/>
            <w:tcMar>
              <w:top w:w="90" w:type="dxa"/>
              <w:left w:w="110" w:type="dxa"/>
              <w:bottom w:w="90" w:type="dxa"/>
              <w:right w:w="110" w:type="dxa"/>
            </w:tcMar>
            <w:vAlign w:val="center"/>
          </w:tcPr>
          <w:p w14:paraId="2E07A881" w14:textId="77777777" w:rsidR="00BB4A23" w:rsidRPr="00AD32FD" w:rsidRDefault="00000000">
            <w:pPr>
              <w:rPr>
                <w:color w:val="000000" w:themeColor="text1"/>
              </w:rPr>
            </w:pPr>
            <w:r w:rsidRPr="00AD32FD">
              <w:rPr>
                <w:b/>
                <w:bCs/>
                <w:color w:val="000000" w:themeColor="text1"/>
                <w:sz w:val="17"/>
                <w:szCs w:val="17"/>
              </w:rPr>
              <w:t>SIEM / Investigation Platforms</w:t>
            </w:r>
          </w:p>
        </w:tc>
        <w:tc>
          <w:tcPr>
            <w:tcW w:w="2100" w:type="dxa"/>
            <w:shd w:val="clear" w:color="auto" w:fill="FFFFFF" w:themeFill="background1"/>
            <w:tcMar>
              <w:top w:w="90" w:type="dxa"/>
              <w:left w:w="110" w:type="dxa"/>
              <w:bottom w:w="90" w:type="dxa"/>
              <w:right w:w="110" w:type="dxa"/>
            </w:tcMar>
            <w:vAlign w:val="center"/>
          </w:tcPr>
          <w:p w14:paraId="76D83AAC" w14:textId="77777777" w:rsidR="00BB4A23" w:rsidRPr="00AD32FD" w:rsidRDefault="00000000">
            <w:pPr>
              <w:rPr>
                <w:color w:val="000000" w:themeColor="text1"/>
              </w:rPr>
            </w:pPr>
            <w:proofErr w:type="spellStart"/>
            <w:r w:rsidRPr="00AD32FD">
              <w:rPr>
                <w:b/>
                <w:bCs/>
                <w:color w:val="000000" w:themeColor="text1"/>
                <w:sz w:val="17"/>
                <w:szCs w:val="17"/>
              </w:rPr>
              <w:t>Traceveil</w:t>
            </w:r>
            <w:proofErr w:type="spellEnd"/>
            <w:r w:rsidRPr="00AD32FD">
              <w:rPr>
                <w:b/>
                <w:bCs/>
                <w:color w:val="000000" w:themeColor="text1"/>
                <w:sz w:val="17"/>
                <w:szCs w:val="17"/>
              </w:rPr>
              <w:t xml:space="preserve"> (Ours)</w:t>
            </w:r>
          </w:p>
        </w:tc>
      </w:tr>
      <w:tr w:rsidR="00BB4A23" w:rsidRPr="00AD32FD" w14:paraId="50D33F61" w14:textId="77777777" w:rsidTr="00AD32FD">
        <w:tblPrEx>
          <w:tblCellMar>
            <w:top w:w="0" w:type="dxa"/>
            <w:bottom w:w="0" w:type="dxa"/>
          </w:tblCellMar>
        </w:tblPrEx>
        <w:trPr>
          <w:cantSplit/>
        </w:trPr>
        <w:tc>
          <w:tcPr>
            <w:tcW w:w="1900" w:type="dxa"/>
            <w:shd w:val="clear" w:color="auto" w:fill="FFFFFF" w:themeFill="background1"/>
            <w:tcMar>
              <w:top w:w="90" w:type="dxa"/>
              <w:left w:w="110" w:type="dxa"/>
              <w:bottom w:w="90" w:type="dxa"/>
              <w:right w:w="110" w:type="dxa"/>
            </w:tcMar>
            <w:vAlign w:val="center"/>
          </w:tcPr>
          <w:p w14:paraId="6EDA507B" w14:textId="77777777" w:rsidR="00BB4A23" w:rsidRPr="00AD32FD" w:rsidRDefault="00000000">
            <w:pPr>
              <w:rPr>
                <w:color w:val="000000" w:themeColor="text1"/>
              </w:rPr>
            </w:pPr>
            <w:r w:rsidRPr="00AD32FD">
              <w:rPr>
                <w:color w:val="000000" w:themeColor="text1"/>
                <w:sz w:val="17"/>
                <w:szCs w:val="17"/>
              </w:rPr>
              <w:t>Live IoT Monitoring</w:t>
            </w:r>
          </w:p>
        </w:tc>
        <w:tc>
          <w:tcPr>
            <w:tcW w:w="3400" w:type="dxa"/>
            <w:shd w:val="clear" w:color="auto" w:fill="FFFFFF" w:themeFill="background1"/>
            <w:tcMar>
              <w:top w:w="90" w:type="dxa"/>
              <w:left w:w="110" w:type="dxa"/>
              <w:bottom w:w="90" w:type="dxa"/>
              <w:right w:w="110" w:type="dxa"/>
            </w:tcMar>
            <w:vAlign w:val="center"/>
          </w:tcPr>
          <w:p w14:paraId="484E67BC" w14:textId="77777777" w:rsidR="00BB4A23" w:rsidRPr="00AD32FD" w:rsidRDefault="00000000">
            <w:pPr>
              <w:rPr>
                <w:color w:val="000000" w:themeColor="text1"/>
              </w:rPr>
            </w:pPr>
            <w:r w:rsidRPr="00AD32FD">
              <w:rPr>
                <w:color w:val="000000" w:themeColor="text1"/>
                <w:sz w:val="17"/>
                <w:szCs w:val="17"/>
              </w:rPr>
              <w:t>Enterprise-grade (Microsoft Defender for IoT, AWS IoT Device Defender)</w:t>
            </w:r>
          </w:p>
        </w:tc>
        <w:tc>
          <w:tcPr>
            <w:tcW w:w="3400" w:type="dxa"/>
            <w:shd w:val="clear" w:color="auto" w:fill="FFFFFF" w:themeFill="background1"/>
            <w:tcMar>
              <w:top w:w="90" w:type="dxa"/>
              <w:left w:w="110" w:type="dxa"/>
              <w:bottom w:w="90" w:type="dxa"/>
              <w:right w:w="110" w:type="dxa"/>
            </w:tcMar>
            <w:vAlign w:val="center"/>
          </w:tcPr>
          <w:p w14:paraId="02EE641A" w14:textId="77777777" w:rsidR="00BB4A23" w:rsidRPr="00AD32FD" w:rsidRDefault="00000000">
            <w:pPr>
              <w:rPr>
                <w:color w:val="000000" w:themeColor="text1"/>
              </w:rPr>
            </w:pPr>
            <w:r w:rsidRPr="00AD32FD">
              <w:rPr>
                <w:color w:val="000000" w:themeColor="text1"/>
                <w:sz w:val="17"/>
                <w:szCs w:val="17"/>
              </w:rPr>
              <w:t xml:space="preserve">Splunk ES / </w:t>
            </w:r>
            <w:proofErr w:type="spellStart"/>
            <w:r w:rsidRPr="00AD32FD">
              <w:rPr>
                <w:color w:val="000000" w:themeColor="text1"/>
                <w:sz w:val="17"/>
                <w:szCs w:val="17"/>
              </w:rPr>
              <w:t>QRadar</w:t>
            </w:r>
            <w:proofErr w:type="spellEnd"/>
            <w:r w:rsidRPr="00AD32FD">
              <w:rPr>
                <w:color w:val="000000" w:themeColor="text1"/>
                <w:sz w:val="17"/>
                <w:szCs w:val="17"/>
              </w:rPr>
              <w:t>: general security-event monitoring, not IoT-specific</w:t>
            </w:r>
          </w:p>
        </w:tc>
        <w:tc>
          <w:tcPr>
            <w:tcW w:w="2100" w:type="dxa"/>
            <w:shd w:val="clear" w:color="auto" w:fill="FFFFFF" w:themeFill="background1"/>
            <w:tcMar>
              <w:top w:w="90" w:type="dxa"/>
              <w:left w:w="110" w:type="dxa"/>
              <w:bottom w:w="90" w:type="dxa"/>
              <w:right w:w="110" w:type="dxa"/>
            </w:tcMar>
            <w:vAlign w:val="center"/>
          </w:tcPr>
          <w:p w14:paraId="0E82F3E5" w14:textId="77777777" w:rsidR="00BB4A23" w:rsidRPr="00AD32FD" w:rsidRDefault="00000000">
            <w:pPr>
              <w:rPr>
                <w:color w:val="000000" w:themeColor="text1"/>
              </w:rPr>
            </w:pPr>
            <w:r w:rsidRPr="00AD32FD">
              <w:rPr>
                <w:color w:val="000000" w:themeColor="text1"/>
                <w:sz w:val="17"/>
                <w:szCs w:val="17"/>
              </w:rPr>
              <w:t>Controlled laboratory telemetry purpose-built for academic smart-home experiments</w:t>
            </w:r>
          </w:p>
        </w:tc>
      </w:tr>
      <w:tr w:rsidR="00BB4A23" w:rsidRPr="00AD32FD" w14:paraId="4726DFCF" w14:textId="77777777" w:rsidTr="00AD32FD">
        <w:tblPrEx>
          <w:tblCellMar>
            <w:top w:w="0" w:type="dxa"/>
            <w:bottom w:w="0" w:type="dxa"/>
          </w:tblCellMar>
        </w:tblPrEx>
        <w:trPr>
          <w:cantSplit/>
        </w:trPr>
        <w:tc>
          <w:tcPr>
            <w:tcW w:w="1900" w:type="dxa"/>
            <w:tcBorders>
              <w:bottom w:val="single" w:sz="4" w:space="0" w:color="auto"/>
            </w:tcBorders>
            <w:shd w:val="clear" w:color="auto" w:fill="FFFFFF" w:themeFill="background1"/>
            <w:tcMar>
              <w:top w:w="90" w:type="dxa"/>
              <w:left w:w="110" w:type="dxa"/>
              <w:bottom w:w="90" w:type="dxa"/>
              <w:right w:w="110" w:type="dxa"/>
            </w:tcMar>
            <w:vAlign w:val="center"/>
          </w:tcPr>
          <w:p w14:paraId="53335D01" w14:textId="77777777" w:rsidR="00BB4A23" w:rsidRPr="00AD32FD" w:rsidRDefault="00000000">
            <w:pPr>
              <w:rPr>
                <w:color w:val="000000" w:themeColor="text1"/>
              </w:rPr>
            </w:pPr>
            <w:r w:rsidRPr="00AD32FD">
              <w:rPr>
                <w:color w:val="000000" w:themeColor="text1"/>
                <w:sz w:val="17"/>
                <w:szCs w:val="17"/>
              </w:rPr>
              <w:t>Historical Evidence Handling</w:t>
            </w:r>
          </w:p>
        </w:tc>
        <w:tc>
          <w:tcPr>
            <w:tcW w:w="3400" w:type="dxa"/>
            <w:tcBorders>
              <w:bottom w:val="single" w:sz="4" w:space="0" w:color="auto"/>
            </w:tcBorders>
            <w:shd w:val="clear" w:color="auto" w:fill="FFFFFF" w:themeFill="background1"/>
            <w:tcMar>
              <w:top w:w="90" w:type="dxa"/>
              <w:left w:w="110" w:type="dxa"/>
              <w:bottom w:w="90" w:type="dxa"/>
              <w:right w:w="110" w:type="dxa"/>
            </w:tcMar>
            <w:vAlign w:val="center"/>
          </w:tcPr>
          <w:p w14:paraId="7483D75C" w14:textId="77777777" w:rsidR="00BB4A23" w:rsidRPr="00AD32FD" w:rsidRDefault="00000000">
            <w:pPr>
              <w:rPr>
                <w:color w:val="000000" w:themeColor="text1"/>
              </w:rPr>
            </w:pPr>
            <w:r w:rsidRPr="00AD32FD">
              <w:rPr>
                <w:color w:val="000000" w:themeColor="text1"/>
                <w:sz w:val="17"/>
                <w:szCs w:val="17"/>
              </w:rPr>
              <w:t>Platform-ecosystem support only (data stays inside vendor's own cloud)</w:t>
            </w:r>
          </w:p>
        </w:tc>
        <w:tc>
          <w:tcPr>
            <w:tcW w:w="3400" w:type="dxa"/>
            <w:tcBorders>
              <w:bottom w:val="single" w:sz="4" w:space="0" w:color="auto"/>
            </w:tcBorders>
            <w:shd w:val="clear" w:color="auto" w:fill="FFFFFF" w:themeFill="background1"/>
            <w:tcMar>
              <w:top w:w="90" w:type="dxa"/>
              <w:left w:w="110" w:type="dxa"/>
              <w:bottom w:w="90" w:type="dxa"/>
              <w:right w:w="110" w:type="dxa"/>
            </w:tcMar>
            <w:vAlign w:val="center"/>
          </w:tcPr>
          <w:p w14:paraId="00E9E920" w14:textId="77777777" w:rsidR="00BB4A23" w:rsidRPr="00AD32FD" w:rsidRDefault="00000000">
            <w:pPr>
              <w:rPr>
                <w:color w:val="000000" w:themeColor="text1"/>
              </w:rPr>
            </w:pPr>
            <w:r w:rsidRPr="00AD32FD">
              <w:rPr>
                <w:color w:val="000000" w:themeColor="text1"/>
                <w:sz w:val="17"/>
                <w:szCs w:val="17"/>
              </w:rPr>
              <w:t>Strong log investigation, but log format is generic, not IoT-canonical</w:t>
            </w:r>
          </w:p>
        </w:tc>
        <w:tc>
          <w:tcPr>
            <w:tcW w:w="2100" w:type="dxa"/>
            <w:tcBorders>
              <w:bottom w:val="single" w:sz="4" w:space="0" w:color="auto"/>
            </w:tcBorders>
            <w:shd w:val="clear" w:color="auto" w:fill="FFFFFF" w:themeFill="background1"/>
            <w:tcMar>
              <w:top w:w="90" w:type="dxa"/>
              <w:left w:w="110" w:type="dxa"/>
              <w:bottom w:w="90" w:type="dxa"/>
              <w:right w:w="110" w:type="dxa"/>
            </w:tcMar>
            <w:vAlign w:val="center"/>
          </w:tcPr>
          <w:p w14:paraId="28A1181D" w14:textId="77777777" w:rsidR="00BB4A23" w:rsidRPr="00AD32FD" w:rsidRDefault="00000000">
            <w:pPr>
              <w:rPr>
                <w:color w:val="000000" w:themeColor="text1"/>
              </w:rPr>
            </w:pPr>
            <w:r w:rsidRPr="00AD32FD">
              <w:rPr>
                <w:color w:val="000000" w:themeColor="text1"/>
                <w:sz w:val="17"/>
                <w:szCs w:val="17"/>
              </w:rPr>
              <w:t>Core project focus — historical dataset evidence is a first-class input, not an afterthought</w:t>
            </w:r>
          </w:p>
        </w:tc>
      </w:tr>
      <w:tr w:rsidR="00BB4A23" w:rsidRPr="00AD32FD" w14:paraId="5888C12F" w14:textId="77777777" w:rsidTr="00AD32FD">
        <w:tblPrEx>
          <w:tblCellMar>
            <w:top w:w="0" w:type="dxa"/>
            <w:bottom w:w="0" w:type="dxa"/>
          </w:tblCellMar>
        </w:tblPrEx>
        <w:trPr>
          <w:cantSplit/>
        </w:trPr>
        <w:tc>
          <w:tcPr>
            <w:tcW w:w="1900" w:type="dxa"/>
            <w:shd w:val="clear" w:color="auto" w:fill="FFFFFF" w:themeFill="background1"/>
            <w:tcMar>
              <w:top w:w="90" w:type="dxa"/>
              <w:left w:w="110" w:type="dxa"/>
              <w:bottom w:w="90" w:type="dxa"/>
              <w:right w:w="110" w:type="dxa"/>
            </w:tcMar>
            <w:vAlign w:val="center"/>
          </w:tcPr>
          <w:p w14:paraId="3964F449" w14:textId="77777777" w:rsidR="00BB4A23" w:rsidRPr="00AD32FD" w:rsidRDefault="00000000">
            <w:pPr>
              <w:rPr>
                <w:color w:val="000000" w:themeColor="text1"/>
              </w:rPr>
            </w:pPr>
            <w:r w:rsidRPr="00AD32FD">
              <w:rPr>
                <w:color w:val="000000" w:themeColor="text1"/>
                <w:sz w:val="17"/>
                <w:szCs w:val="17"/>
              </w:rPr>
              <w:t>Event Normalization</w:t>
            </w:r>
          </w:p>
        </w:tc>
        <w:tc>
          <w:tcPr>
            <w:tcW w:w="3400" w:type="dxa"/>
            <w:shd w:val="clear" w:color="auto" w:fill="FFFFFF" w:themeFill="background1"/>
            <w:tcMar>
              <w:top w:w="90" w:type="dxa"/>
              <w:left w:w="110" w:type="dxa"/>
              <w:bottom w:w="90" w:type="dxa"/>
              <w:right w:w="110" w:type="dxa"/>
            </w:tcMar>
            <w:vAlign w:val="center"/>
          </w:tcPr>
          <w:p w14:paraId="70FC5BD9" w14:textId="77777777" w:rsidR="00BB4A23" w:rsidRPr="00AD32FD" w:rsidRDefault="00000000">
            <w:pPr>
              <w:rPr>
                <w:color w:val="000000" w:themeColor="text1"/>
              </w:rPr>
            </w:pPr>
            <w:r w:rsidRPr="00AD32FD">
              <w:rPr>
                <w:color w:val="000000" w:themeColor="text1"/>
                <w:sz w:val="17"/>
                <w:szCs w:val="17"/>
              </w:rPr>
              <w:t>Platform-specific schemas (SmartThings, Xiaomi, Hikvision each different)</w:t>
            </w:r>
          </w:p>
        </w:tc>
        <w:tc>
          <w:tcPr>
            <w:tcW w:w="3400" w:type="dxa"/>
            <w:shd w:val="clear" w:color="auto" w:fill="FFFFFF" w:themeFill="background1"/>
            <w:tcMar>
              <w:top w:w="90" w:type="dxa"/>
              <w:left w:w="110" w:type="dxa"/>
              <w:bottom w:w="90" w:type="dxa"/>
              <w:right w:w="110" w:type="dxa"/>
            </w:tcMar>
            <w:vAlign w:val="center"/>
          </w:tcPr>
          <w:p w14:paraId="1C5C910A" w14:textId="77777777" w:rsidR="00BB4A23" w:rsidRPr="00AD32FD" w:rsidRDefault="00000000">
            <w:pPr>
              <w:rPr>
                <w:color w:val="000000" w:themeColor="text1"/>
              </w:rPr>
            </w:pPr>
            <w:r w:rsidRPr="00AD32FD">
              <w:rPr>
                <w:color w:val="000000" w:themeColor="text1"/>
                <w:sz w:val="17"/>
                <w:szCs w:val="17"/>
              </w:rPr>
              <w:t>General security schemas (CEF/LEEF), not IoT-device aware</w:t>
            </w:r>
          </w:p>
        </w:tc>
        <w:tc>
          <w:tcPr>
            <w:tcW w:w="2100" w:type="dxa"/>
            <w:shd w:val="clear" w:color="auto" w:fill="FFFFFF" w:themeFill="background1"/>
            <w:tcMar>
              <w:top w:w="90" w:type="dxa"/>
              <w:left w:w="110" w:type="dxa"/>
              <w:bottom w:w="90" w:type="dxa"/>
              <w:right w:w="110" w:type="dxa"/>
            </w:tcMar>
            <w:vAlign w:val="center"/>
          </w:tcPr>
          <w:p w14:paraId="2634F431" w14:textId="77777777" w:rsidR="00BB4A23" w:rsidRPr="00AD32FD" w:rsidRDefault="00000000">
            <w:pPr>
              <w:rPr>
                <w:color w:val="000000" w:themeColor="text1"/>
              </w:rPr>
            </w:pPr>
            <w:r w:rsidRPr="00AD32FD">
              <w:rPr>
                <w:color w:val="000000" w:themeColor="text1"/>
                <w:sz w:val="17"/>
                <w:szCs w:val="17"/>
              </w:rPr>
              <w:t>One canonical IoT event model shared by every source, live or historical</w:t>
            </w:r>
          </w:p>
        </w:tc>
      </w:tr>
      <w:tr w:rsidR="00BB4A23" w:rsidRPr="00AD32FD" w14:paraId="7558D45F" w14:textId="77777777" w:rsidTr="00AD32FD">
        <w:tblPrEx>
          <w:tblCellMar>
            <w:top w:w="0" w:type="dxa"/>
            <w:bottom w:w="0" w:type="dxa"/>
          </w:tblCellMar>
        </w:tblPrEx>
        <w:trPr>
          <w:cantSplit/>
        </w:trPr>
        <w:tc>
          <w:tcPr>
            <w:tcW w:w="1900" w:type="dxa"/>
            <w:shd w:val="clear" w:color="auto" w:fill="FFFFFF" w:themeFill="background1"/>
            <w:tcMar>
              <w:top w:w="90" w:type="dxa"/>
              <w:left w:w="110" w:type="dxa"/>
              <w:bottom w:w="90" w:type="dxa"/>
              <w:right w:w="110" w:type="dxa"/>
            </w:tcMar>
            <w:vAlign w:val="center"/>
          </w:tcPr>
          <w:p w14:paraId="1168098F" w14:textId="77777777" w:rsidR="00BB4A23" w:rsidRPr="00AD32FD" w:rsidRDefault="00000000">
            <w:pPr>
              <w:rPr>
                <w:color w:val="000000" w:themeColor="text1"/>
              </w:rPr>
            </w:pPr>
            <w:r w:rsidRPr="00AD32FD">
              <w:rPr>
                <w:color w:val="000000" w:themeColor="text1"/>
                <w:sz w:val="17"/>
                <w:szCs w:val="17"/>
              </w:rPr>
              <w:t>Timeline Reconstruction</w:t>
            </w:r>
          </w:p>
        </w:tc>
        <w:tc>
          <w:tcPr>
            <w:tcW w:w="3400" w:type="dxa"/>
            <w:shd w:val="clear" w:color="auto" w:fill="FFFFFF" w:themeFill="background1"/>
            <w:tcMar>
              <w:top w:w="90" w:type="dxa"/>
              <w:left w:w="110" w:type="dxa"/>
              <w:bottom w:w="90" w:type="dxa"/>
              <w:right w:w="110" w:type="dxa"/>
            </w:tcMar>
            <w:vAlign w:val="center"/>
          </w:tcPr>
          <w:p w14:paraId="5F43727D" w14:textId="77777777" w:rsidR="00BB4A23" w:rsidRPr="00AD32FD" w:rsidRDefault="00000000">
            <w:pPr>
              <w:rPr>
                <w:color w:val="000000" w:themeColor="text1"/>
              </w:rPr>
            </w:pPr>
            <w:r w:rsidRPr="00AD32FD">
              <w:rPr>
                <w:color w:val="000000" w:themeColor="text1"/>
                <w:sz w:val="17"/>
                <w:szCs w:val="17"/>
              </w:rPr>
              <w:t>Broader IT/OT workflows, not IoT-forensic specific</w:t>
            </w:r>
          </w:p>
        </w:tc>
        <w:tc>
          <w:tcPr>
            <w:tcW w:w="3400" w:type="dxa"/>
            <w:shd w:val="clear" w:color="auto" w:fill="FFFFFF" w:themeFill="background1"/>
            <w:tcMar>
              <w:top w:w="90" w:type="dxa"/>
              <w:left w:w="110" w:type="dxa"/>
              <w:bottom w:w="90" w:type="dxa"/>
              <w:right w:w="110" w:type="dxa"/>
            </w:tcMar>
            <w:vAlign w:val="center"/>
          </w:tcPr>
          <w:p w14:paraId="398C0073" w14:textId="77777777" w:rsidR="00BB4A23" w:rsidRPr="00AD32FD" w:rsidRDefault="00000000">
            <w:pPr>
              <w:rPr>
                <w:color w:val="000000" w:themeColor="text1"/>
              </w:rPr>
            </w:pPr>
            <w:r w:rsidRPr="00AD32FD">
              <w:rPr>
                <w:color w:val="000000" w:themeColor="text1"/>
                <w:sz w:val="17"/>
                <w:szCs w:val="17"/>
              </w:rPr>
              <w:t>Investigation capability exists but is manual/analyst-driven</w:t>
            </w:r>
          </w:p>
        </w:tc>
        <w:tc>
          <w:tcPr>
            <w:tcW w:w="2100" w:type="dxa"/>
            <w:shd w:val="clear" w:color="auto" w:fill="FFFFFF" w:themeFill="background1"/>
            <w:tcMar>
              <w:top w:w="90" w:type="dxa"/>
              <w:left w:w="110" w:type="dxa"/>
              <w:bottom w:w="90" w:type="dxa"/>
              <w:right w:w="110" w:type="dxa"/>
            </w:tcMar>
            <w:vAlign w:val="center"/>
          </w:tcPr>
          <w:p w14:paraId="4AFA09DA" w14:textId="77777777" w:rsidR="00BB4A23" w:rsidRPr="00AD32FD" w:rsidRDefault="00000000">
            <w:pPr>
              <w:rPr>
                <w:color w:val="000000" w:themeColor="text1"/>
              </w:rPr>
            </w:pPr>
            <w:r w:rsidRPr="00AD32FD">
              <w:rPr>
                <w:color w:val="000000" w:themeColor="text1"/>
                <w:sz w:val="17"/>
                <w:szCs w:val="17"/>
              </w:rPr>
              <w:t>Core project focus — automatic, reproducible timeline reconstruction</w:t>
            </w:r>
          </w:p>
        </w:tc>
      </w:tr>
      <w:tr w:rsidR="00BB4A23" w:rsidRPr="00AD32FD" w14:paraId="45721651" w14:textId="77777777" w:rsidTr="00AD32FD">
        <w:tblPrEx>
          <w:tblCellMar>
            <w:top w:w="0" w:type="dxa"/>
            <w:bottom w:w="0" w:type="dxa"/>
          </w:tblCellMar>
        </w:tblPrEx>
        <w:trPr>
          <w:cantSplit/>
        </w:trPr>
        <w:tc>
          <w:tcPr>
            <w:tcW w:w="1900" w:type="dxa"/>
            <w:shd w:val="clear" w:color="auto" w:fill="FFFFFF" w:themeFill="background1"/>
            <w:tcMar>
              <w:top w:w="90" w:type="dxa"/>
              <w:left w:w="110" w:type="dxa"/>
              <w:bottom w:w="90" w:type="dxa"/>
              <w:right w:w="110" w:type="dxa"/>
            </w:tcMar>
            <w:vAlign w:val="center"/>
          </w:tcPr>
          <w:p w14:paraId="6BD83B18" w14:textId="77777777" w:rsidR="00BB4A23" w:rsidRPr="00AD32FD" w:rsidRDefault="00000000">
            <w:pPr>
              <w:rPr>
                <w:color w:val="000000" w:themeColor="text1"/>
              </w:rPr>
            </w:pPr>
            <w:r w:rsidRPr="00AD32FD">
              <w:rPr>
                <w:color w:val="000000" w:themeColor="text1"/>
                <w:sz w:val="17"/>
                <w:szCs w:val="17"/>
              </w:rPr>
              <w:t>Cross-Device Correlation</w:t>
            </w:r>
          </w:p>
        </w:tc>
        <w:tc>
          <w:tcPr>
            <w:tcW w:w="3400" w:type="dxa"/>
            <w:shd w:val="clear" w:color="auto" w:fill="FFFFFF" w:themeFill="background1"/>
            <w:tcMar>
              <w:top w:w="90" w:type="dxa"/>
              <w:left w:w="110" w:type="dxa"/>
              <w:bottom w:w="90" w:type="dxa"/>
              <w:right w:w="110" w:type="dxa"/>
            </w:tcMar>
            <w:vAlign w:val="center"/>
          </w:tcPr>
          <w:p w14:paraId="615FE7DA" w14:textId="77777777" w:rsidR="00BB4A23" w:rsidRPr="00AD32FD" w:rsidRDefault="00000000">
            <w:pPr>
              <w:rPr>
                <w:color w:val="000000" w:themeColor="text1"/>
              </w:rPr>
            </w:pPr>
            <w:r w:rsidRPr="00AD32FD">
              <w:rPr>
                <w:color w:val="000000" w:themeColor="text1"/>
                <w:sz w:val="17"/>
                <w:szCs w:val="17"/>
              </w:rPr>
              <w:t>Enterprise/fleet-level correlation across many identical devices</w:t>
            </w:r>
          </w:p>
        </w:tc>
        <w:tc>
          <w:tcPr>
            <w:tcW w:w="3400" w:type="dxa"/>
            <w:shd w:val="clear" w:color="auto" w:fill="FFFFFF" w:themeFill="background1"/>
            <w:tcMar>
              <w:top w:w="90" w:type="dxa"/>
              <w:left w:w="110" w:type="dxa"/>
              <w:bottom w:w="90" w:type="dxa"/>
              <w:right w:w="110" w:type="dxa"/>
            </w:tcMar>
            <w:vAlign w:val="center"/>
          </w:tcPr>
          <w:p w14:paraId="374E71D5" w14:textId="77777777" w:rsidR="00BB4A23" w:rsidRPr="00AD32FD" w:rsidRDefault="00000000">
            <w:pPr>
              <w:rPr>
                <w:color w:val="000000" w:themeColor="text1"/>
              </w:rPr>
            </w:pPr>
            <w:r w:rsidRPr="00AD32FD">
              <w:rPr>
                <w:color w:val="000000" w:themeColor="text1"/>
                <w:sz w:val="17"/>
                <w:szCs w:val="17"/>
              </w:rPr>
              <w:t>Broad event correlation across arbitrary log sources</w:t>
            </w:r>
          </w:p>
        </w:tc>
        <w:tc>
          <w:tcPr>
            <w:tcW w:w="2100" w:type="dxa"/>
            <w:shd w:val="clear" w:color="auto" w:fill="FFFFFF" w:themeFill="background1"/>
            <w:tcMar>
              <w:top w:w="90" w:type="dxa"/>
              <w:left w:w="110" w:type="dxa"/>
              <w:bottom w:w="90" w:type="dxa"/>
              <w:right w:w="110" w:type="dxa"/>
            </w:tcMar>
            <w:vAlign w:val="center"/>
          </w:tcPr>
          <w:p w14:paraId="5771D7D6" w14:textId="77777777" w:rsidR="00BB4A23" w:rsidRPr="00AD32FD" w:rsidRDefault="00000000">
            <w:pPr>
              <w:rPr>
                <w:color w:val="000000" w:themeColor="text1"/>
              </w:rPr>
            </w:pPr>
            <w:r w:rsidRPr="00AD32FD">
              <w:rPr>
                <w:color w:val="000000" w:themeColor="text1"/>
                <w:sz w:val="17"/>
                <w:szCs w:val="17"/>
              </w:rPr>
              <w:t>IoT-specific correlation tuned to smart-home entity relationships</w:t>
            </w:r>
          </w:p>
        </w:tc>
      </w:tr>
      <w:tr w:rsidR="00BB4A23" w:rsidRPr="00AD32FD" w14:paraId="16EA5B4D" w14:textId="77777777" w:rsidTr="00AD32FD">
        <w:tblPrEx>
          <w:tblCellMar>
            <w:top w:w="0" w:type="dxa"/>
            <w:bottom w:w="0" w:type="dxa"/>
          </w:tblCellMar>
        </w:tblPrEx>
        <w:trPr>
          <w:cantSplit/>
        </w:trPr>
        <w:tc>
          <w:tcPr>
            <w:tcW w:w="1900" w:type="dxa"/>
            <w:shd w:val="clear" w:color="auto" w:fill="FFFFFF" w:themeFill="background1"/>
            <w:tcMar>
              <w:top w:w="90" w:type="dxa"/>
              <w:left w:w="110" w:type="dxa"/>
              <w:bottom w:w="90" w:type="dxa"/>
              <w:right w:w="110" w:type="dxa"/>
            </w:tcMar>
            <w:vAlign w:val="center"/>
          </w:tcPr>
          <w:p w14:paraId="44CEF8A4" w14:textId="77777777" w:rsidR="00BB4A23" w:rsidRPr="00AD32FD" w:rsidRDefault="00000000">
            <w:pPr>
              <w:rPr>
                <w:color w:val="000000" w:themeColor="text1"/>
              </w:rPr>
            </w:pPr>
            <w:r w:rsidRPr="00AD32FD">
              <w:rPr>
                <w:color w:val="000000" w:themeColor="text1"/>
                <w:sz w:val="17"/>
                <w:szCs w:val="17"/>
              </w:rPr>
              <w:t>AI-Assisted Investigation</w:t>
            </w:r>
          </w:p>
        </w:tc>
        <w:tc>
          <w:tcPr>
            <w:tcW w:w="3400" w:type="dxa"/>
            <w:shd w:val="clear" w:color="auto" w:fill="FFFFFF" w:themeFill="background1"/>
            <w:tcMar>
              <w:top w:w="90" w:type="dxa"/>
              <w:left w:w="110" w:type="dxa"/>
              <w:bottom w:w="90" w:type="dxa"/>
              <w:right w:w="110" w:type="dxa"/>
            </w:tcMar>
            <w:vAlign w:val="center"/>
          </w:tcPr>
          <w:p w14:paraId="532595E7" w14:textId="77777777" w:rsidR="00BB4A23" w:rsidRPr="00AD32FD" w:rsidRDefault="00000000">
            <w:pPr>
              <w:rPr>
                <w:color w:val="000000" w:themeColor="text1"/>
              </w:rPr>
            </w:pPr>
            <w:r w:rsidRPr="00AD32FD">
              <w:rPr>
                <w:color w:val="000000" w:themeColor="text1"/>
                <w:sz w:val="17"/>
                <w:szCs w:val="17"/>
              </w:rPr>
              <w:t>Platform-specific copilots (vendor lock-in)</w:t>
            </w:r>
          </w:p>
        </w:tc>
        <w:tc>
          <w:tcPr>
            <w:tcW w:w="3400" w:type="dxa"/>
            <w:shd w:val="clear" w:color="auto" w:fill="FFFFFF" w:themeFill="background1"/>
            <w:tcMar>
              <w:top w:w="90" w:type="dxa"/>
              <w:left w:w="110" w:type="dxa"/>
              <w:bottom w:w="90" w:type="dxa"/>
              <w:right w:w="110" w:type="dxa"/>
            </w:tcMar>
            <w:vAlign w:val="center"/>
          </w:tcPr>
          <w:p w14:paraId="63F48F17" w14:textId="77777777" w:rsidR="00BB4A23" w:rsidRPr="00AD32FD" w:rsidRDefault="00000000">
            <w:pPr>
              <w:rPr>
                <w:color w:val="000000" w:themeColor="text1"/>
              </w:rPr>
            </w:pPr>
            <w:r w:rsidRPr="00AD32FD">
              <w:rPr>
                <w:color w:val="000000" w:themeColor="text1"/>
                <w:sz w:val="17"/>
                <w:szCs w:val="17"/>
              </w:rPr>
              <w:t>Product-dependent AI add-ons, usually cloud-based</w:t>
            </w:r>
          </w:p>
        </w:tc>
        <w:tc>
          <w:tcPr>
            <w:tcW w:w="2100" w:type="dxa"/>
            <w:shd w:val="clear" w:color="auto" w:fill="FFFFFF" w:themeFill="background1"/>
            <w:tcMar>
              <w:top w:w="90" w:type="dxa"/>
              <w:left w:w="110" w:type="dxa"/>
              <w:bottom w:w="90" w:type="dxa"/>
              <w:right w:w="110" w:type="dxa"/>
            </w:tcMar>
            <w:vAlign w:val="center"/>
          </w:tcPr>
          <w:p w14:paraId="38224CD5" w14:textId="77777777" w:rsidR="00BB4A23" w:rsidRPr="00AD32FD" w:rsidRDefault="00000000">
            <w:pPr>
              <w:rPr>
                <w:color w:val="000000" w:themeColor="text1"/>
              </w:rPr>
            </w:pPr>
            <w:r w:rsidRPr="00AD32FD">
              <w:rPr>
                <w:color w:val="000000" w:themeColor="text1"/>
                <w:sz w:val="17"/>
                <w:szCs w:val="17"/>
              </w:rPr>
              <w:t>Planned local, evidence-grounded Qwen 9B assistant — explains only, never computes forensic facts</w:t>
            </w:r>
          </w:p>
        </w:tc>
      </w:tr>
      <w:tr w:rsidR="00BB4A23" w:rsidRPr="00AD32FD" w14:paraId="2841501D" w14:textId="77777777" w:rsidTr="00AD32FD">
        <w:tblPrEx>
          <w:tblCellMar>
            <w:top w:w="0" w:type="dxa"/>
            <w:bottom w:w="0" w:type="dxa"/>
          </w:tblCellMar>
        </w:tblPrEx>
        <w:trPr>
          <w:cantSplit/>
        </w:trPr>
        <w:tc>
          <w:tcPr>
            <w:tcW w:w="1900" w:type="dxa"/>
            <w:shd w:val="clear" w:color="auto" w:fill="FFFFFF" w:themeFill="background1"/>
            <w:tcMar>
              <w:top w:w="90" w:type="dxa"/>
              <w:left w:w="110" w:type="dxa"/>
              <w:bottom w:w="90" w:type="dxa"/>
              <w:right w:w="110" w:type="dxa"/>
            </w:tcMar>
            <w:vAlign w:val="center"/>
          </w:tcPr>
          <w:p w14:paraId="37BD5D3C" w14:textId="77777777" w:rsidR="00BB4A23" w:rsidRPr="00AD32FD" w:rsidRDefault="00000000">
            <w:pPr>
              <w:rPr>
                <w:color w:val="000000" w:themeColor="text1"/>
              </w:rPr>
            </w:pPr>
            <w:r w:rsidRPr="00AD32FD">
              <w:rPr>
                <w:color w:val="000000" w:themeColor="text1"/>
                <w:sz w:val="17"/>
                <w:szCs w:val="17"/>
              </w:rPr>
              <w:t>Data Confidentiality</w:t>
            </w:r>
          </w:p>
        </w:tc>
        <w:tc>
          <w:tcPr>
            <w:tcW w:w="3400" w:type="dxa"/>
            <w:shd w:val="clear" w:color="auto" w:fill="FFFFFF" w:themeFill="background1"/>
            <w:tcMar>
              <w:top w:w="90" w:type="dxa"/>
              <w:left w:w="110" w:type="dxa"/>
              <w:bottom w:w="90" w:type="dxa"/>
              <w:right w:w="110" w:type="dxa"/>
            </w:tcMar>
            <w:vAlign w:val="center"/>
          </w:tcPr>
          <w:p w14:paraId="76AE8C7A" w14:textId="77777777" w:rsidR="00BB4A23" w:rsidRPr="00AD32FD" w:rsidRDefault="00000000">
            <w:pPr>
              <w:rPr>
                <w:color w:val="000000" w:themeColor="text1"/>
              </w:rPr>
            </w:pPr>
            <w:r w:rsidRPr="00AD32FD">
              <w:rPr>
                <w:color w:val="000000" w:themeColor="text1"/>
                <w:sz w:val="17"/>
                <w:szCs w:val="17"/>
              </w:rPr>
              <w:t>Data typically leaves the premises to vendor cloud</w:t>
            </w:r>
          </w:p>
        </w:tc>
        <w:tc>
          <w:tcPr>
            <w:tcW w:w="3400" w:type="dxa"/>
            <w:shd w:val="clear" w:color="auto" w:fill="FFFFFF" w:themeFill="background1"/>
            <w:tcMar>
              <w:top w:w="90" w:type="dxa"/>
              <w:left w:w="110" w:type="dxa"/>
              <w:bottom w:w="90" w:type="dxa"/>
              <w:right w:w="110" w:type="dxa"/>
            </w:tcMar>
            <w:vAlign w:val="center"/>
          </w:tcPr>
          <w:p w14:paraId="215021AD" w14:textId="77777777" w:rsidR="00BB4A23" w:rsidRPr="00AD32FD" w:rsidRDefault="00000000">
            <w:pPr>
              <w:rPr>
                <w:color w:val="000000" w:themeColor="text1"/>
              </w:rPr>
            </w:pPr>
            <w:r w:rsidRPr="00AD32FD">
              <w:rPr>
                <w:color w:val="000000" w:themeColor="text1"/>
                <w:sz w:val="17"/>
                <w:szCs w:val="17"/>
              </w:rPr>
              <w:t>Cloud-hosted SIEM in most deployments</w:t>
            </w:r>
          </w:p>
        </w:tc>
        <w:tc>
          <w:tcPr>
            <w:tcW w:w="2100" w:type="dxa"/>
            <w:shd w:val="clear" w:color="auto" w:fill="FFFFFF" w:themeFill="background1"/>
            <w:tcMar>
              <w:top w:w="90" w:type="dxa"/>
              <w:left w:w="110" w:type="dxa"/>
              <w:bottom w:w="90" w:type="dxa"/>
              <w:right w:w="110" w:type="dxa"/>
            </w:tcMar>
            <w:vAlign w:val="center"/>
          </w:tcPr>
          <w:p w14:paraId="1A28BF58" w14:textId="77777777" w:rsidR="00BB4A23" w:rsidRPr="00AD32FD" w:rsidRDefault="00000000">
            <w:pPr>
              <w:rPr>
                <w:color w:val="000000" w:themeColor="text1"/>
              </w:rPr>
            </w:pPr>
            <w:r w:rsidRPr="00AD32FD">
              <w:rPr>
                <w:color w:val="000000" w:themeColor="text1"/>
                <w:sz w:val="17"/>
                <w:szCs w:val="17"/>
              </w:rPr>
              <w:t>Fully local/offline AI layer (</w:t>
            </w:r>
            <w:proofErr w:type="spellStart"/>
            <w:r w:rsidRPr="00AD32FD">
              <w:rPr>
                <w:color w:val="000000" w:themeColor="text1"/>
                <w:sz w:val="17"/>
                <w:szCs w:val="17"/>
              </w:rPr>
              <w:t>Ollama</w:t>
            </w:r>
            <w:proofErr w:type="spellEnd"/>
            <w:r w:rsidRPr="00AD32FD">
              <w:rPr>
                <w:color w:val="000000" w:themeColor="text1"/>
                <w:sz w:val="17"/>
                <w:szCs w:val="17"/>
              </w:rPr>
              <w:t xml:space="preserve"> + Qwen 9B), no external API calls on case data</w:t>
            </w:r>
          </w:p>
        </w:tc>
      </w:tr>
      <w:tr w:rsidR="00BB4A23" w:rsidRPr="00AD32FD" w14:paraId="608C7B58" w14:textId="77777777" w:rsidTr="00AD32FD">
        <w:tblPrEx>
          <w:tblCellMar>
            <w:top w:w="0" w:type="dxa"/>
            <w:bottom w:w="0" w:type="dxa"/>
          </w:tblCellMar>
        </w:tblPrEx>
        <w:trPr>
          <w:cantSplit/>
        </w:trPr>
        <w:tc>
          <w:tcPr>
            <w:tcW w:w="1900" w:type="dxa"/>
            <w:shd w:val="clear" w:color="auto" w:fill="FFFFFF" w:themeFill="background1"/>
            <w:tcMar>
              <w:top w:w="90" w:type="dxa"/>
              <w:left w:w="110" w:type="dxa"/>
              <w:bottom w:w="90" w:type="dxa"/>
              <w:right w:w="110" w:type="dxa"/>
            </w:tcMar>
            <w:vAlign w:val="center"/>
          </w:tcPr>
          <w:p w14:paraId="6CAB2467" w14:textId="77777777" w:rsidR="00BB4A23" w:rsidRPr="00AD32FD" w:rsidRDefault="00000000">
            <w:pPr>
              <w:rPr>
                <w:color w:val="000000" w:themeColor="text1"/>
              </w:rPr>
            </w:pPr>
            <w:r w:rsidRPr="00AD32FD">
              <w:rPr>
                <w:color w:val="000000" w:themeColor="text1"/>
                <w:sz w:val="17"/>
                <w:szCs w:val="17"/>
              </w:rPr>
              <w:t>Reproducibility of Findings</w:t>
            </w:r>
          </w:p>
        </w:tc>
        <w:tc>
          <w:tcPr>
            <w:tcW w:w="3400" w:type="dxa"/>
            <w:shd w:val="clear" w:color="auto" w:fill="FFFFFF" w:themeFill="background1"/>
            <w:tcMar>
              <w:top w:w="90" w:type="dxa"/>
              <w:left w:w="110" w:type="dxa"/>
              <w:bottom w:w="90" w:type="dxa"/>
              <w:right w:w="110" w:type="dxa"/>
            </w:tcMar>
            <w:vAlign w:val="center"/>
          </w:tcPr>
          <w:p w14:paraId="7CA06246" w14:textId="77777777" w:rsidR="00BB4A23" w:rsidRPr="00AD32FD" w:rsidRDefault="00000000">
            <w:pPr>
              <w:rPr>
                <w:color w:val="000000" w:themeColor="text1"/>
              </w:rPr>
            </w:pPr>
            <w:r w:rsidRPr="00AD32FD">
              <w:rPr>
                <w:color w:val="000000" w:themeColor="text1"/>
                <w:sz w:val="17"/>
                <w:szCs w:val="17"/>
              </w:rPr>
              <w:t>Not guaranteed — vendor black-box scoring</w:t>
            </w:r>
          </w:p>
        </w:tc>
        <w:tc>
          <w:tcPr>
            <w:tcW w:w="3400" w:type="dxa"/>
            <w:shd w:val="clear" w:color="auto" w:fill="FFFFFF" w:themeFill="background1"/>
            <w:tcMar>
              <w:top w:w="90" w:type="dxa"/>
              <w:left w:w="110" w:type="dxa"/>
              <w:bottom w:w="90" w:type="dxa"/>
              <w:right w:w="110" w:type="dxa"/>
            </w:tcMar>
            <w:vAlign w:val="center"/>
          </w:tcPr>
          <w:p w14:paraId="2FE715FC" w14:textId="77777777" w:rsidR="00BB4A23" w:rsidRPr="00AD32FD" w:rsidRDefault="00000000">
            <w:pPr>
              <w:rPr>
                <w:color w:val="000000" w:themeColor="text1"/>
              </w:rPr>
            </w:pPr>
            <w:r w:rsidRPr="00AD32FD">
              <w:rPr>
                <w:color w:val="000000" w:themeColor="text1"/>
                <w:sz w:val="17"/>
                <w:szCs w:val="17"/>
              </w:rPr>
              <w:t>Product-dependent, often ML-based and non-deterministic</w:t>
            </w:r>
          </w:p>
        </w:tc>
        <w:tc>
          <w:tcPr>
            <w:tcW w:w="2100" w:type="dxa"/>
            <w:shd w:val="clear" w:color="auto" w:fill="FFFFFF" w:themeFill="background1"/>
            <w:tcMar>
              <w:top w:w="90" w:type="dxa"/>
              <w:left w:w="110" w:type="dxa"/>
              <w:bottom w:w="90" w:type="dxa"/>
              <w:right w:w="110" w:type="dxa"/>
            </w:tcMar>
            <w:vAlign w:val="center"/>
          </w:tcPr>
          <w:p w14:paraId="4F433671" w14:textId="77777777" w:rsidR="00BB4A23" w:rsidRPr="00AD32FD" w:rsidRDefault="00000000">
            <w:pPr>
              <w:rPr>
                <w:color w:val="000000" w:themeColor="text1"/>
              </w:rPr>
            </w:pPr>
            <w:r w:rsidRPr="00AD32FD">
              <w:rPr>
                <w:color w:val="000000" w:themeColor="text1"/>
                <w:sz w:val="17"/>
                <w:szCs w:val="17"/>
              </w:rPr>
              <w:t>Deterministic detection + risk-scoring engine — same input always gives the same output</w:t>
            </w:r>
          </w:p>
        </w:tc>
      </w:tr>
      <w:tr w:rsidR="00BB4A23" w:rsidRPr="00AD32FD" w14:paraId="62EBFF8A" w14:textId="77777777" w:rsidTr="00AD32FD">
        <w:tblPrEx>
          <w:tblCellMar>
            <w:top w:w="0" w:type="dxa"/>
            <w:bottom w:w="0" w:type="dxa"/>
          </w:tblCellMar>
        </w:tblPrEx>
        <w:trPr>
          <w:cantSplit/>
        </w:trPr>
        <w:tc>
          <w:tcPr>
            <w:tcW w:w="1900" w:type="dxa"/>
            <w:shd w:val="clear" w:color="auto" w:fill="FFFFFF" w:themeFill="background1"/>
            <w:tcMar>
              <w:top w:w="90" w:type="dxa"/>
              <w:left w:w="110" w:type="dxa"/>
              <w:bottom w:w="90" w:type="dxa"/>
              <w:right w:w="110" w:type="dxa"/>
            </w:tcMar>
            <w:vAlign w:val="center"/>
          </w:tcPr>
          <w:p w14:paraId="0864C733" w14:textId="77777777" w:rsidR="00BB4A23" w:rsidRPr="00AD32FD" w:rsidRDefault="00000000">
            <w:pPr>
              <w:rPr>
                <w:color w:val="000000" w:themeColor="text1"/>
              </w:rPr>
            </w:pPr>
            <w:r w:rsidRPr="00AD32FD">
              <w:rPr>
                <w:color w:val="000000" w:themeColor="text1"/>
                <w:sz w:val="17"/>
                <w:szCs w:val="17"/>
              </w:rPr>
              <w:t>Primary Scope</w:t>
            </w:r>
          </w:p>
        </w:tc>
        <w:tc>
          <w:tcPr>
            <w:tcW w:w="3400" w:type="dxa"/>
            <w:shd w:val="clear" w:color="auto" w:fill="FFFFFF" w:themeFill="background1"/>
            <w:tcMar>
              <w:top w:w="90" w:type="dxa"/>
              <w:left w:w="110" w:type="dxa"/>
              <w:bottom w:w="90" w:type="dxa"/>
              <w:right w:w="110" w:type="dxa"/>
            </w:tcMar>
            <w:vAlign w:val="center"/>
          </w:tcPr>
          <w:p w14:paraId="1D3A960B" w14:textId="77777777" w:rsidR="00BB4A23" w:rsidRPr="00AD32FD" w:rsidRDefault="00000000">
            <w:pPr>
              <w:rPr>
                <w:color w:val="000000" w:themeColor="text1"/>
              </w:rPr>
            </w:pPr>
            <w:r w:rsidRPr="00AD32FD">
              <w:rPr>
                <w:color w:val="000000" w:themeColor="text1"/>
                <w:sz w:val="17"/>
                <w:szCs w:val="17"/>
              </w:rPr>
              <w:t>Enterprise IoT/OT fleets</w:t>
            </w:r>
          </w:p>
        </w:tc>
        <w:tc>
          <w:tcPr>
            <w:tcW w:w="3400" w:type="dxa"/>
            <w:shd w:val="clear" w:color="auto" w:fill="FFFFFF" w:themeFill="background1"/>
            <w:tcMar>
              <w:top w:w="90" w:type="dxa"/>
              <w:left w:w="110" w:type="dxa"/>
              <w:bottom w:w="90" w:type="dxa"/>
              <w:right w:w="110" w:type="dxa"/>
            </w:tcMar>
            <w:vAlign w:val="center"/>
          </w:tcPr>
          <w:p w14:paraId="6B9AE568" w14:textId="77777777" w:rsidR="00BB4A23" w:rsidRPr="00AD32FD" w:rsidRDefault="00000000">
            <w:pPr>
              <w:rPr>
                <w:color w:val="000000" w:themeColor="text1"/>
              </w:rPr>
            </w:pPr>
            <w:r w:rsidRPr="00AD32FD">
              <w:rPr>
                <w:color w:val="000000" w:themeColor="text1"/>
                <w:sz w:val="17"/>
                <w:szCs w:val="17"/>
              </w:rPr>
              <w:t>Enterprise SOC/SIEM at organisational scale</w:t>
            </w:r>
          </w:p>
        </w:tc>
        <w:tc>
          <w:tcPr>
            <w:tcW w:w="2100" w:type="dxa"/>
            <w:shd w:val="clear" w:color="auto" w:fill="FFFFFF" w:themeFill="background1"/>
            <w:tcMar>
              <w:top w:w="90" w:type="dxa"/>
              <w:left w:w="110" w:type="dxa"/>
              <w:bottom w:w="90" w:type="dxa"/>
              <w:right w:w="110" w:type="dxa"/>
            </w:tcMar>
            <w:vAlign w:val="center"/>
          </w:tcPr>
          <w:p w14:paraId="305FB693" w14:textId="77777777" w:rsidR="00BB4A23" w:rsidRPr="00AD32FD" w:rsidRDefault="00000000">
            <w:pPr>
              <w:rPr>
                <w:color w:val="000000" w:themeColor="text1"/>
              </w:rPr>
            </w:pPr>
            <w:r w:rsidRPr="00AD32FD">
              <w:rPr>
                <w:color w:val="000000" w:themeColor="text1"/>
                <w:sz w:val="17"/>
                <w:szCs w:val="17"/>
              </w:rPr>
              <w:t>Academic smart-home IoT DFIR prototype — deliberately scoped, not a claimed enterprise replacement</w:t>
            </w:r>
          </w:p>
        </w:tc>
      </w:tr>
    </w:tbl>
    <w:p w14:paraId="12B73EAE" w14:textId="77777777" w:rsidR="00BB4A23" w:rsidRPr="00AD32FD" w:rsidRDefault="00BB4A23">
      <w:pPr>
        <w:spacing w:after="200"/>
        <w:rPr>
          <w:color w:val="000000" w:themeColor="text1"/>
        </w:rPr>
      </w:pPr>
    </w:p>
    <w:p w14:paraId="1AEC621E" w14:textId="2A53ECE8" w:rsidR="00BB4A23" w:rsidRPr="00AD32FD" w:rsidRDefault="00000000">
      <w:pPr>
        <w:spacing w:after="140"/>
        <w:jc w:val="both"/>
        <w:rPr>
          <w:color w:val="000000" w:themeColor="text1"/>
        </w:rPr>
      </w:pPr>
      <w:r w:rsidRPr="00AD32FD">
        <w:rPr>
          <w:color w:val="000000" w:themeColor="text1"/>
        </w:rPr>
        <w:t xml:space="preserve">Research Positioning: </w:t>
      </w:r>
      <w:proofErr w:type="spellStart"/>
      <w:r w:rsidRPr="00AD32FD">
        <w:rPr>
          <w:color w:val="000000" w:themeColor="text1"/>
        </w:rPr>
        <w:t>Traceveil</w:t>
      </w:r>
      <w:proofErr w:type="spellEnd"/>
      <w:r w:rsidRPr="00AD32FD">
        <w:rPr>
          <w:color w:val="000000" w:themeColor="text1"/>
        </w:rPr>
        <w:t xml:space="preserve"> is not built to replace Microsoft Defender for IoT, AWS IoT Device Defender, Splunk ES, or IBM </w:t>
      </w:r>
      <w:proofErr w:type="spellStart"/>
      <w:r w:rsidRPr="00AD32FD">
        <w:rPr>
          <w:color w:val="000000" w:themeColor="text1"/>
        </w:rPr>
        <w:t>QRadar</w:t>
      </w:r>
      <w:proofErr w:type="spellEnd"/>
      <w:r w:rsidRPr="00AD32FD">
        <w:rPr>
          <w:color w:val="000000" w:themeColor="text1"/>
        </w:rPr>
        <w:t xml:space="preserve"> at enterprise scale. Its contribution is narrower and specific a single canonical event model that unifies batch evidence and controlled live IoT telemetry, a deterministic and reproducible forensic pipeline, and a locally-hosted AI layer that explains findings without ever computing them. None of the four commercial platforms above, nor the academic literature reviewed in Section 2, combine all three of these properties in one system.</w:t>
      </w:r>
    </w:p>
    <w:sectPr w:rsidR="00BB4A23" w:rsidRPr="00AD32FD">
      <w:headerReference w:type="default" r:id="rId20"/>
      <w:footerReference w:type="default" r:id="rId21"/>
      <w:pgSz w:w="12240" w:h="15840"/>
      <w:pgMar w:top="1000" w:right="900" w:bottom="10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8C9FAB" w14:textId="77777777" w:rsidR="003712C5" w:rsidRDefault="003712C5">
      <w:r>
        <w:separator/>
      </w:r>
    </w:p>
  </w:endnote>
  <w:endnote w:type="continuationSeparator" w:id="0">
    <w:p w14:paraId="17FCB3F2" w14:textId="77777777" w:rsidR="003712C5" w:rsidRDefault="003712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D04A50" w14:textId="77777777" w:rsidR="00BB4A23"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AD32FD">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4CD088" w14:textId="77777777" w:rsidR="003712C5" w:rsidRDefault="003712C5">
      <w:r>
        <w:separator/>
      </w:r>
    </w:p>
  </w:footnote>
  <w:footnote w:type="continuationSeparator" w:id="0">
    <w:p w14:paraId="1F1D8952" w14:textId="77777777" w:rsidR="003712C5" w:rsidRDefault="003712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46EBB5" w14:textId="1DBC9ED0" w:rsidR="00BB4A23" w:rsidRPr="00AD32FD" w:rsidRDefault="00BB4A23">
    <w:pPr>
      <w:pBdr>
        <w:bottom w:val="single" w:sz="6" w:space="4" w:color="1F3864"/>
      </w:pBd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0800E63"/>
    <w:multiLevelType w:val="hybridMultilevel"/>
    <w:tmpl w:val="4CD87E38"/>
    <w:lvl w:ilvl="0" w:tplc="8F869E8A">
      <w:start w:val="1"/>
      <w:numFmt w:val="bullet"/>
      <w:lvlText w:val="●"/>
      <w:lvlJc w:val="left"/>
      <w:pPr>
        <w:ind w:left="720" w:hanging="360"/>
      </w:pPr>
    </w:lvl>
    <w:lvl w:ilvl="1" w:tplc="9DBA8AA8">
      <w:start w:val="1"/>
      <w:numFmt w:val="bullet"/>
      <w:lvlText w:val="○"/>
      <w:lvlJc w:val="left"/>
      <w:pPr>
        <w:ind w:left="1440" w:hanging="360"/>
      </w:pPr>
    </w:lvl>
    <w:lvl w:ilvl="2" w:tplc="BC7ED9A4">
      <w:start w:val="1"/>
      <w:numFmt w:val="bullet"/>
      <w:lvlText w:val="■"/>
      <w:lvlJc w:val="left"/>
      <w:pPr>
        <w:ind w:left="2160" w:hanging="360"/>
      </w:pPr>
    </w:lvl>
    <w:lvl w:ilvl="3" w:tplc="166A5AF4">
      <w:start w:val="1"/>
      <w:numFmt w:val="bullet"/>
      <w:lvlText w:val="●"/>
      <w:lvlJc w:val="left"/>
      <w:pPr>
        <w:ind w:left="2880" w:hanging="360"/>
      </w:pPr>
    </w:lvl>
    <w:lvl w:ilvl="4" w:tplc="D67042E4">
      <w:start w:val="1"/>
      <w:numFmt w:val="bullet"/>
      <w:lvlText w:val="○"/>
      <w:lvlJc w:val="left"/>
      <w:pPr>
        <w:ind w:left="3600" w:hanging="360"/>
      </w:pPr>
    </w:lvl>
    <w:lvl w:ilvl="5" w:tplc="89AC02F4">
      <w:start w:val="1"/>
      <w:numFmt w:val="bullet"/>
      <w:lvlText w:val="■"/>
      <w:lvlJc w:val="left"/>
      <w:pPr>
        <w:ind w:left="4320" w:hanging="360"/>
      </w:pPr>
    </w:lvl>
    <w:lvl w:ilvl="6" w:tplc="81B0D7D0">
      <w:start w:val="1"/>
      <w:numFmt w:val="bullet"/>
      <w:lvlText w:val="●"/>
      <w:lvlJc w:val="left"/>
      <w:pPr>
        <w:ind w:left="5040" w:hanging="360"/>
      </w:pPr>
    </w:lvl>
    <w:lvl w:ilvl="7" w:tplc="02F278EE">
      <w:start w:val="1"/>
      <w:numFmt w:val="bullet"/>
      <w:lvlText w:val="●"/>
      <w:lvlJc w:val="left"/>
      <w:pPr>
        <w:ind w:left="5760" w:hanging="360"/>
      </w:pPr>
    </w:lvl>
    <w:lvl w:ilvl="8" w:tplc="A13A995C">
      <w:start w:val="1"/>
      <w:numFmt w:val="bullet"/>
      <w:lvlText w:val="●"/>
      <w:lvlJc w:val="left"/>
      <w:pPr>
        <w:ind w:left="6480" w:hanging="360"/>
      </w:pPr>
    </w:lvl>
  </w:abstractNum>
  <w:num w:numId="1" w16cid:durableId="171160920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A23"/>
    <w:rsid w:val="003712C5"/>
    <w:rsid w:val="00A60964"/>
    <w:rsid w:val="00AD32FD"/>
    <w:rsid w:val="00BB4A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07A8F57"/>
  <w15:docId w15:val="{9B0C2AC6-E612-9F40-A64A-A97020681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28"/>
      <w:szCs w:val="28"/>
    </w:rPr>
  </w:style>
  <w:style w:type="paragraph" w:styleId="Heading2">
    <w:name w:val="heading 2"/>
    <w:uiPriority w:val="9"/>
    <w:unhideWhenUsed/>
    <w:qFormat/>
    <w:pPr>
      <w:spacing w:before="200" w:after="10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D32FD"/>
    <w:pPr>
      <w:tabs>
        <w:tab w:val="center" w:pos="4513"/>
        <w:tab w:val="right" w:pos="9026"/>
      </w:tabs>
    </w:pPr>
  </w:style>
  <w:style w:type="character" w:customStyle="1" w:styleId="HeaderChar">
    <w:name w:val="Header Char"/>
    <w:basedOn w:val="DefaultParagraphFont"/>
    <w:link w:val="Header"/>
    <w:uiPriority w:val="99"/>
    <w:rsid w:val="00AD32FD"/>
  </w:style>
  <w:style w:type="paragraph" w:styleId="Footer">
    <w:name w:val="footer"/>
    <w:basedOn w:val="Normal"/>
    <w:link w:val="FooterChar"/>
    <w:uiPriority w:val="99"/>
    <w:unhideWhenUsed/>
    <w:rsid w:val="00AD32FD"/>
    <w:pPr>
      <w:tabs>
        <w:tab w:val="center" w:pos="4513"/>
        <w:tab w:val="right" w:pos="9026"/>
      </w:tabs>
    </w:pPr>
  </w:style>
  <w:style w:type="character" w:customStyle="1" w:styleId="FooterChar">
    <w:name w:val="Footer Char"/>
    <w:basedOn w:val="DefaultParagraphFont"/>
    <w:link w:val="Footer"/>
    <w:uiPriority w:val="99"/>
    <w:rsid w:val="00AD32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3390/s23135941" TargetMode="External"/><Relationship Id="rId13" Type="http://schemas.openxmlformats.org/officeDocument/2006/relationships/hyperlink" Target="https://www.researchgate.net/publication/385384442_Device_Forensics_in_Smart_Homes_Insights_on_Advances_Challenges_and_Future_Directions" TargetMode="External"/><Relationship Id="rId18" Type="http://schemas.openxmlformats.org/officeDocument/2006/relationships/hyperlink" Target="https://csrc.nist.gov/pubs/sp/800/86/final" TargetMode="External"/><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research.unsw.edu.au/projects/toniot-datasets" TargetMode="External"/><Relationship Id="rId12" Type="http://schemas.openxmlformats.org/officeDocument/2006/relationships/hyperlink" Target="https://www.researchgate.net/publication/373504027_A_Survey_of_Internet_of_Things_IoT_Forensics_Frameworks_and_Challenges" TargetMode="External"/><Relationship Id="rId17" Type="http://schemas.openxmlformats.org/officeDocument/2006/relationships/hyperlink" Target="https://www.sciencedirect.com/science/article/pii/S2666281725000113" TargetMode="External"/><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hyperlink" Target="https://www.sciencedirect.com/science/article/pii/S2666281725001830"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esearchgate.net/publication/371434059_Smart_Home_IoT_Forensics_Current_Status_Challenges_and_Future_Directions" TargetMode="External"/><Relationship Id="rId24"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hyperlink" Target="https://www.semanticscholar.org/paper/Smart-Home-Forensics%E2%80%94Data-Analysis-of-IoT-Devices-Kim-Park/b31b85d76b3f5f8e55ed44092a7870dc1230683e" TargetMode="External"/><Relationship Id="rId23" Type="http://schemas.openxmlformats.org/officeDocument/2006/relationships/theme" Target="theme/theme1.xml"/><Relationship Id="rId10" Type="http://schemas.openxmlformats.org/officeDocument/2006/relationships/hyperlink" Target="https://doi.org/10.3390/app14031128" TargetMode="External"/><Relationship Id="rId19" Type="http://schemas.openxmlformats.org/officeDocument/2006/relationships/hyperlink" Target="https://csrc.nist.gov/pubs/sp/800/92/final" TargetMode="External"/><Relationship Id="rId4" Type="http://schemas.openxmlformats.org/officeDocument/2006/relationships/webSettings" Target="webSettings.xml"/><Relationship Id="rId9" Type="http://schemas.openxmlformats.org/officeDocument/2006/relationships/hyperlink" Target="https://doi.org/10.1016/j.adhoc.2025.103840" TargetMode="External"/><Relationship Id="rId14" Type="http://schemas.openxmlformats.org/officeDocument/2006/relationships/hyperlink" Target="https://www.ncbi.nlm.nih.gov/pmc/articles/PMC10099346/"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C7F2A5B2474F42B72FA56F265B01D0" ma:contentTypeVersion="13" ma:contentTypeDescription="Create a new document." ma:contentTypeScope="" ma:versionID="0e8643b67993bfb25221172bfdfcfafd">
  <xsd:schema xmlns:xsd="http://www.w3.org/2001/XMLSchema" xmlns:xs="http://www.w3.org/2001/XMLSchema" xmlns:p="http://schemas.microsoft.com/office/2006/metadata/properties" xmlns:ns2="1113c09e-a8af-4c81-a7e4-ea6a80009bed" xmlns:ns3="d0f2822f-00f1-431e-a194-525d49d35cfe" targetNamespace="http://schemas.microsoft.com/office/2006/metadata/properties" ma:root="true" ma:fieldsID="d6ac9b3cf96497257182dfd7a0402c4c" ns2:_="" ns3:_="">
    <xsd:import namespace="1113c09e-a8af-4c81-a7e4-ea6a80009bed"/>
    <xsd:import namespace="d0f2822f-00f1-431e-a194-525d49d35cf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DateTaken" minOccurs="0"/>
                <xsd:element ref="ns2:MediaServiceObjectDetectorVersions" minOccurs="0"/>
                <xsd:element ref="ns2:MediaServiceLocatio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13c09e-a8af-4c81-a7e4-ea6a80009be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0f2822f-00f1-431e-a194-525d49d35cf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e3932eb7-ec6c-47cb-954e-91dda51d1aba}" ma:internalName="TaxCatchAll" ma:showField="CatchAllData" ma:web="d0f2822f-00f1-431e-a194-525d49d35c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113c09e-a8af-4c81-a7e4-ea6a80009bed">
      <Terms xmlns="http://schemas.microsoft.com/office/infopath/2007/PartnerControls"/>
    </lcf76f155ced4ddcb4097134ff3c332f>
    <TaxCatchAll xmlns="d0f2822f-00f1-431e-a194-525d49d35cfe" xsi:nil="true"/>
  </documentManagement>
</p:properties>
</file>

<file path=customXml/itemProps1.xml><?xml version="1.0" encoding="utf-8"?>
<ds:datastoreItem xmlns:ds="http://schemas.openxmlformats.org/officeDocument/2006/customXml" ds:itemID="{458702C0-48D4-42C1-8AD7-6710D9018AD5}"/>
</file>

<file path=customXml/itemProps2.xml><?xml version="1.0" encoding="utf-8"?>
<ds:datastoreItem xmlns:ds="http://schemas.openxmlformats.org/officeDocument/2006/customXml" ds:itemID="{AF32590A-D582-4F9B-B9FB-4C26DF27C9CB}"/>
</file>

<file path=customXml/itemProps3.xml><?xml version="1.0" encoding="utf-8"?>
<ds:datastoreItem xmlns:ds="http://schemas.openxmlformats.org/officeDocument/2006/customXml" ds:itemID="{651F1925-8D31-44B5-BDB9-A56FAD255D0C}"/>
</file>

<file path=docProps/app.xml><?xml version="1.0" encoding="utf-8"?>
<Properties xmlns="http://schemas.openxmlformats.org/officeDocument/2006/extended-properties" xmlns:vt="http://schemas.openxmlformats.org/officeDocument/2006/docPropsVTypes">
  <Template>Normal.dotm</Template>
  <TotalTime>2</TotalTime>
  <Pages>5</Pages>
  <Words>2501</Words>
  <Characters>14262</Characters>
  <Application>Microsoft Office Word</Application>
  <DocSecurity>0</DocSecurity>
  <Lines>118</Lines>
  <Paragraphs>33</Paragraphs>
  <ScaleCrop>false</ScaleCrop>
  <Company/>
  <LinksUpToDate>false</LinksUpToDate>
  <CharactersWithSpaces>16730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Ayra Jha</cp:lastModifiedBy>
  <cp:revision>2</cp:revision>
  <dcterms:created xsi:type="dcterms:W3CDTF">2026-09-06T08:45:00Z</dcterms:created>
  <dcterms:modified xsi:type="dcterms:W3CDTF">2026-09-06T08:58:00Z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0x01010013C7F2A5B2474F42B72FA56F265B01D0</vt:lpwstr>
  </property>
</Properties>
</file>