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i w:val="0"/>
          <w:color w:val="0B2545"/>
          <w:sz w:val="48"/>
        </w:rPr>
        <w:t>COMPLETION REPORT</w:t>
      </w:r>
    </w:p>
    <w:p>
      <w:pPr>
        <w:spacing w:after="280"/>
      </w:pPr>
      <w:r>
        <w:rPr>
          <w:rFonts w:ascii="Calibri" w:hAnsi="Calibri"/>
          <w:b w:val="0"/>
          <w:i w:val="0"/>
          <w:color w:val="555555"/>
          <w:sz w:val="26"/>
        </w:rPr>
        <w:t>Traceveil roadmap reconciliation, delivery status, and contribution record</w:t>
      </w:r>
    </w:p>
    <w:p>
      <w:pPr>
        <w:spacing w:after="40"/>
      </w:pPr>
      <w:r>
        <w:rPr>
          <w:rFonts w:ascii="Calibri" w:hAnsi="Calibri"/>
          <w:b/>
          <w:i w:val="0"/>
          <w:color w:val="000000"/>
          <w:sz w:val="21"/>
        </w:rPr>
        <w:t xml:space="preserve">Prepared: </w:t>
      </w:r>
      <w:r>
        <w:rPr>
          <w:rFonts w:ascii="Calibri" w:hAnsi="Calibri"/>
          <w:b w:val="0"/>
          <w:i w:val="0"/>
          <w:color w:val="000000"/>
          <w:sz w:val="21"/>
        </w:rPr>
        <w:t>25 August 2026</w:t>
      </w:r>
    </w:p>
    <w:p>
      <w:pPr>
        <w:spacing w:after="40"/>
      </w:pPr>
      <w:r>
        <w:rPr>
          <w:rFonts w:ascii="Calibri" w:hAnsi="Calibri"/>
          <w:b/>
          <w:i w:val="0"/>
          <w:color w:val="000000"/>
          <w:sz w:val="21"/>
        </w:rPr>
        <w:t xml:space="preserve">Source set: </w:t>
      </w:r>
      <w:r>
        <w:rPr>
          <w:rFonts w:ascii="Calibri" w:hAnsi="Calibri"/>
          <w:b w:val="0"/>
          <w:i w:val="0"/>
          <w:color w:val="000000"/>
          <w:sz w:val="21"/>
        </w:rPr>
        <w:t>Roadmap, frontend completion audit, Phase 3 demo guide, and contribution record</w:t>
      </w:r>
    </w:p>
    <w:p>
      <w:pPr>
        <w:spacing w:after="40"/>
      </w:pPr>
      <w:r>
        <w:rPr>
          <w:rFonts w:ascii="Calibri" w:hAnsi="Calibri"/>
          <w:b/>
          <w:i w:val="0"/>
          <w:color w:val="000000"/>
          <w:sz w:val="21"/>
        </w:rPr>
        <w:t xml:space="preserve">Repository snapshot: </w:t>
      </w:r>
      <w:r>
        <w:rPr>
          <w:rFonts w:ascii="Calibri" w:hAnsi="Calibri"/>
          <w:b w:val="0"/>
          <w:i w:val="0"/>
          <w:color w:val="000000"/>
          <w:sz w:val="21"/>
        </w:rPr>
        <w:t>Contribution history reviewed through commit d66a0ac and working-tree integration as of 15 August 2026</w:t>
      </w:r>
    </w:p>
    <w:p>
      <w:pPr>
        <w:pStyle w:val="Heading1"/>
        <w:keepNext/>
      </w:pPr>
      <w:r>
        <w:t>Executive summary</w:t>
      </w:r>
    </w:p>
    <w:p>
      <w:pPr>
        <w:spacing w:before="0" w:after="120" w:line="259" w:lineRule="auto"/>
      </w:pPr>
      <w:r>
        <w:rPr>
          <w:rFonts w:ascii="Aptos" w:hAnsi="Aptos"/>
          <w:b/>
          <w:color w:val="1F4D78"/>
          <w:sz w:val="19"/>
        </w:rPr>
        <w:t xml:space="preserve">Delivery position. </w:t>
      </w:r>
      <w:r>
        <w:rPr>
          <w:rFonts w:ascii="Aptos" w:hAnsi="Aptos"/>
          <w:b w:val="0"/>
          <w:color w:val="243447"/>
          <w:sz w:val="19"/>
        </w:rPr>
        <w:t>Traceveil's frontend integration checklist is complete, and the reviewed delivery evidence confirms substantial implementation across the core software areas. The roadmap itself currently records 60 of 136 planned items complete (44.1%); that remains the formal whole-roadmap figure until its unchecked items are individually validated and reconciled.</w:t>
      </w:r>
    </w:p>
    <w:tbl>
      <w:tblPr>
        <w:tblStyle w:val="TableGrid"/>
        <w:tblW w:type="dxa" w:w="9360"/>
        <w:tblLayout w:type="fixed"/>
        <w:tblLook w:firstColumn="1" w:firstRow="1" w:lastColumn="0" w:lastRow="0" w:noHBand="0" w:noVBand="1" w:val="04A0"/>
        <w:tblInd w:w="120" w:type="dxa"/>
      </w:tblPr>
      <w:tblGrid>
        <w:gridCol w:w="2400"/>
        <w:gridCol w:w="6960"/>
      </w:tblGrid>
      <w:tr>
        <w:tc>
          <w:tcPr>
            <w:tcW w:type="dxa" w:w="2400"/>
            <w:shd w:fill="0B2545"/>
            <w:vAlign w:val="center"/>
            <w:tcMar>
              <w:top w:w="80" w:type="dxa"/>
              <w:start w:w="120" w:type="dxa"/>
              <w:bottom w:w="80" w:type="dxa"/>
              <w:end w:w="120" w:type="dxa"/>
            </w:tcMar>
          </w:tcPr>
          <w:p>
            <w:r>
              <w:rPr>
                <w:rFonts w:ascii="Calibri" w:hAnsi="Calibri"/>
                <w:b/>
                <w:color w:val="FFFFFF"/>
                <w:sz w:val="48"/>
              </w:rPr>
              <w:t>44.1%</w:t>
            </w:r>
          </w:p>
        </w:tc>
        <w:tc>
          <w:tcPr>
            <w:tcW w:type="dxa" w:w="6960"/>
            <w:vAlign w:val="center"/>
            <w:shd w:fill="E8EEF5"/>
          </w:tcPr>
          <w:p>
            <w:r>
              <w:rPr>
                <w:rFonts w:ascii="Calibri" w:hAnsi="Calibri"/>
                <w:b/>
                <w:color w:val="0B2545"/>
                <w:sz w:val="22"/>
              </w:rPr>
              <w:t>ROADMAP COMPLETION</w:t>
              <w:br/>
              <w:t>60 of 136 planned items checked</w:t>
            </w:r>
          </w:p>
        </w:tc>
      </w:tr>
    </w:tbl>
    <w:p>
      <w:pPr>
        <w:spacing w:before="0" w:after="120" w:line="259" w:lineRule="auto"/>
      </w:pPr>
      <w:r>
        <w:rPr>
          <w:rFonts w:ascii="Aptos" w:hAnsi="Aptos"/>
          <w:b/>
          <w:color w:val="1F4D78"/>
          <w:sz w:val="19"/>
        </w:rPr>
        <w:t xml:space="preserve">How to read this report. </w:t>
      </w:r>
      <w:r>
        <w:rPr>
          <w:rFonts w:ascii="Aptos" w:hAnsi="Aptos"/>
          <w:b w:val="0"/>
          <w:color w:val="243447"/>
          <w:sz w:val="19"/>
        </w:rPr>
        <w:t>A roadmap status of Complete reflects items checked in the source roadmap. An evidence status such as Implemented in later work records delivery supported by later project materials even where the original roadmap boxes remain unchecked.</w:t>
      </w:r>
    </w:p>
    <w:p>
      <w:pPr>
        <w:pStyle w:val="Heading1"/>
        <w:keepNext/>
      </w:pPr>
      <w:r>
        <w:t>Roadmap completion by area</w:t>
      </w:r>
    </w:p>
    <w:tbl>
      <w:tblPr>
        <w:tblStyle w:val="TableGrid"/>
        <w:tblW w:type="dxa" w:w="9360"/>
        <w:jc w:val="left"/>
        <w:tblLayout w:type="fixed"/>
        <w:tblLook w:firstColumn="1" w:firstRow="1" w:lastColumn="0" w:lastRow="0" w:noHBand="0" w:noVBand="1" w:val="04A0"/>
        <w:tblInd w:w="120" w:type="dxa"/>
        <w:tblBorders>
          <w:top w:val="single" w:sz="4" w:color="D7DEE8"/>
          <w:left w:val="single" w:sz="4" w:color="D7DEE8"/>
          <w:bottom w:val="single" w:sz="4" w:color="D7DEE8"/>
          <w:right w:val="single" w:sz="4" w:color="D7DEE8"/>
          <w:insideH w:val="single" w:sz="4" w:color="D7DEE8"/>
          <w:insideV w:val="single" w:sz="4" w:color="D7DEE8"/>
        </w:tblBorders>
      </w:tblPr>
      <w:tblGrid>
        <w:gridCol w:w="1750"/>
        <w:gridCol w:w="1450"/>
        <w:gridCol w:w="1900"/>
        <w:gridCol w:w="4260"/>
      </w:tblGrid>
      <w:tr>
        <w:trPr>
          <w:tblHeader w:val="true"/>
        </w:trPr>
        <w:tc>
          <w:tcPr>
            <w:tcW w:type="dxa" w:w="1750"/>
            <w:shd w:fill="0B2545"/>
            <w:tcMar>
              <w:top w:w="130" w:type="dxa"/>
              <w:start w:w="140" w:type="dxa"/>
              <w:bottom w:w="130" w:type="dxa"/>
              <w:end w:w="140" w:type="dxa"/>
            </w:tcMar>
            <w:vAlign w:val="center"/>
          </w:tcPr>
          <w:p>
            <w:pPr>
              <w:spacing w:after="0"/>
              <w:jc w:val="left"/>
            </w:pPr>
            <w:r>
              <w:rPr>
                <w:rFonts w:ascii="Calibri" w:hAnsi="Calibri"/>
                <w:b/>
                <w:color w:val="FFFFFF"/>
                <w:sz w:val="18"/>
              </w:rPr>
              <w:t>ROADMAP AREA</w:t>
            </w:r>
          </w:p>
        </w:tc>
        <w:tc>
          <w:tcPr>
            <w:tcW w:type="dxa" w:w="1450"/>
            <w:shd w:fill="0B2545"/>
            <w:tcMar>
              <w:top w:w="130" w:type="dxa"/>
              <w:start w:w="140" w:type="dxa"/>
              <w:bottom w:w="130" w:type="dxa"/>
              <w:end w:w="140" w:type="dxa"/>
            </w:tcMar>
            <w:vAlign w:val="center"/>
          </w:tcPr>
          <w:p>
            <w:pPr>
              <w:spacing w:after="0"/>
              <w:jc w:val="left"/>
            </w:pPr>
            <w:r>
              <w:rPr>
                <w:rFonts w:ascii="Calibri" w:hAnsi="Calibri"/>
                <w:b/>
                <w:color w:val="FFFFFF"/>
                <w:sz w:val="18"/>
              </w:rPr>
              <w:t>ROADMAP STATUS</w:t>
            </w:r>
          </w:p>
        </w:tc>
        <w:tc>
          <w:tcPr>
            <w:tcW w:type="dxa" w:w="1900"/>
            <w:shd w:fill="0B2545"/>
            <w:tcMar>
              <w:top w:w="130" w:type="dxa"/>
              <w:start w:w="140" w:type="dxa"/>
              <w:bottom w:w="130" w:type="dxa"/>
              <w:end w:w="140" w:type="dxa"/>
            </w:tcMar>
            <w:vAlign w:val="center"/>
          </w:tcPr>
          <w:p>
            <w:pPr>
              <w:spacing w:after="0"/>
              <w:jc w:val="left"/>
            </w:pPr>
            <w:r>
              <w:rPr>
                <w:rFonts w:ascii="Calibri" w:hAnsi="Calibri"/>
                <w:b/>
                <w:color w:val="FFFFFF"/>
                <w:sz w:val="18"/>
              </w:rPr>
              <w:t>EVIDENCE STATUS</w:t>
            </w:r>
          </w:p>
        </w:tc>
        <w:tc>
          <w:tcPr>
            <w:tcW w:type="dxa" w:w="4260"/>
            <w:shd w:fill="0B2545"/>
            <w:tcMar>
              <w:top w:w="130" w:type="dxa"/>
              <w:start w:w="140" w:type="dxa"/>
              <w:bottom w:w="130" w:type="dxa"/>
              <w:end w:w="140" w:type="dxa"/>
            </w:tcMar>
            <w:vAlign w:val="center"/>
          </w:tcPr>
          <w:p>
            <w:pPr>
              <w:spacing w:after="0"/>
              <w:jc w:val="left"/>
            </w:pPr>
            <w:r>
              <w:rPr>
                <w:rFonts w:ascii="Calibri" w:hAnsi="Calibri"/>
                <w:b/>
                <w:color w:val="FFFFFF"/>
                <w:sz w:val="18"/>
              </w:rPr>
              <w:t>DELIVERY EVIDENCE</w:t>
            </w:r>
          </w:p>
        </w:tc>
      </w:tr>
      <w:tr>
        <w:trPr>
          <w:cantSplit/>
        </w:trPr>
        <w:tc>
          <w:tcPr>
            <w:tcW w:type="dxa" w:w="1750"/>
            <w:tcMar>
              <w:top w:w="110" w:type="dxa"/>
              <w:start w:w="140" w:type="dxa"/>
              <w:bottom w:w="110" w:type="dxa"/>
              <w:end w:w="140" w:type="dxa"/>
            </w:tcMar>
            <w:vAlign w:val="center"/>
            <w:shd w:fill="E8EEF5"/>
          </w:tcPr>
          <w:p>
            <w:pPr>
              <w:spacing w:before="0" w:after="40" w:line="240" w:lineRule="auto"/>
            </w:pPr>
            <w:r>
              <w:rPr>
                <w:rFonts w:ascii="Calibri" w:hAnsi="Calibri"/>
                <w:b/>
                <w:i w:val="0"/>
                <w:color w:val="0B2545"/>
                <w:sz w:val="17"/>
              </w:rPr>
              <w:t>1. Initialization</w:t>
            </w:r>
          </w:p>
        </w:tc>
        <w:tc>
          <w:tcPr>
            <w:tcW w:type="dxa" w:w="145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i w:val="0"/>
                <w:color w:val="2E7D32"/>
                <w:sz w:val="16"/>
              </w:rPr>
              <w:t>Complete</w:t>
            </w:r>
          </w:p>
        </w:tc>
        <w:tc>
          <w:tcPr>
            <w:tcW w:type="dxa" w:w="190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color w:val="2E7D32"/>
                <w:sz w:val="16"/>
              </w:rPr>
              <w:t>Complete</w:t>
            </w:r>
          </w:p>
        </w:tc>
        <w:tc>
          <w:tcPr>
            <w:tcW w:type="dxa" w:w="4260"/>
            <w:tcMar>
              <w:top w:w="110" w:type="dxa"/>
              <w:start w:w="140" w:type="dxa"/>
              <w:bottom w:w="110" w:type="dxa"/>
              <w:end w:w="140" w:type="dxa"/>
            </w:tcMar>
            <w:vAlign w:val="center"/>
            <w:shd w:fill="FFFFFF"/>
          </w:tcPr>
          <w:p>
            <w:pPr>
              <w:spacing w:before="0" w:after="40" w:line="240" w:lineRule="auto"/>
            </w:pPr>
            <w:r>
              <w:rPr>
                <w:rFonts w:ascii="Calibri" w:hAnsi="Calibri"/>
                <w:b w:val="0"/>
                <w:i w:val="0"/>
                <w:color w:val="273444"/>
                <w:sz w:val="17"/>
              </w:rPr>
              <w:t>Frontend, backend, SQLite, health checks, and optional Ollama configuration delivered.</w:t>
            </w:r>
          </w:p>
        </w:tc>
      </w:tr>
      <w:tr>
        <w:trPr>
          <w:cantSplit/>
        </w:trPr>
        <w:tc>
          <w:tcPr>
            <w:tcW w:type="dxa" w:w="1750"/>
            <w:shd w:fill="E8EEF5"/>
            <w:tcMar>
              <w:top w:w="110" w:type="dxa"/>
              <w:start w:w="140" w:type="dxa"/>
              <w:bottom w:w="110" w:type="dxa"/>
              <w:end w:w="140" w:type="dxa"/>
            </w:tcMar>
            <w:vAlign w:val="center"/>
          </w:tcPr>
          <w:p>
            <w:pPr>
              <w:spacing w:before="0" w:after="40" w:line="240" w:lineRule="auto"/>
            </w:pPr>
            <w:r>
              <w:rPr>
                <w:rFonts w:ascii="Calibri" w:hAnsi="Calibri"/>
                <w:b/>
                <w:i w:val="0"/>
                <w:color w:val="0B2545"/>
                <w:sz w:val="17"/>
              </w:rPr>
              <w:t>2. Frontend &amp; investigation</w:t>
            </w:r>
          </w:p>
        </w:tc>
        <w:tc>
          <w:tcPr>
            <w:tcW w:type="dxa" w:w="145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i w:val="0"/>
                <w:color w:val="2E7D32"/>
                <w:sz w:val="16"/>
              </w:rPr>
              <w:t>Complete</w:t>
            </w:r>
          </w:p>
        </w:tc>
        <w:tc>
          <w:tcPr>
            <w:tcW w:type="dxa" w:w="190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color w:val="2E7D32"/>
                <w:sz w:val="16"/>
              </w:rPr>
              <w:t>Complete</w:t>
            </w:r>
          </w:p>
        </w:tc>
        <w:tc>
          <w:tcPr>
            <w:tcW w:type="dxa" w:w="4260"/>
            <w:shd w:fill="F8FAFC"/>
            <w:tcMar>
              <w:top w:w="110" w:type="dxa"/>
              <w:start w:w="140" w:type="dxa"/>
              <w:bottom w:w="110" w:type="dxa"/>
              <w:end w:w="140" w:type="dxa"/>
            </w:tcMar>
            <w:vAlign w:val="center"/>
          </w:tcPr>
          <w:p>
            <w:pPr>
              <w:spacing w:before="0" w:after="40" w:line="240" w:lineRule="auto"/>
            </w:pPr>
            <w:r>
              <w:rPr>
                <w:rFonts w:ascii="Calibri" w:hAnsi="Calibri"/>
                <w:b w:val="0"/>
                <w:i w:val="0"/>
                <w:color w:val="273444"/>
                <w:sz w:val="17"/>
              </w:rPr>
              <w:t>Application shell, case workspaces, evidence flow, investigation views, assistant, and report review delivered.</w:t>
            </w:r>
          </w:p>
        </w:tc>
      </w:tr>
      <w:tr>
        <w:trPr>
          <w:cantSplit/>
        </w:trPr>
        <w:tc>
          <w:tcPr>
            <w:tcW w:type="dxa" w:w="1750"/>
            <w:tcMar>
              <w:top w:w="110" w:type="dxa"/>
              <w:start w:w="140" w:type="dxa"/>
              <w:bottom w:w="110" w:type="dxa"/>
              <w:end w:w="140" w:type="dxa"/>
            </w:tcMar>
            <w:vAlign w:val="center"/>
            <w:shd w:fill="E8EEF5"/>
          </w:tcPr>
          <w:p>
            <w:pPr>
              <w:spacing w:before="0" w:after="40" w:line="240" w:lineRule="auto"/>
            </w:pPr>
            <w:r>
              <w:rPr>
                <w:rFonts w:ascii="Calibri" w:hAnsi="Calibri"/>
                <w:b/>
                <w:i w:val="0"/>
                <w:color w:val="0B2545"/>
                <w:sz w:val="17"/>
              </w:rPr>
              <w:t>3. Evidence validation</w:t>
            </w:r>
          </w:p>
        </w:tc>
        <w:tc>
          <w:tcPr>
            <w:tcW w:type="dxa" w:w="145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i w:val="0"/>
                <w:color w:val="2E7D32"/>
                <w:sz w:val="16"/>
              </w:rPr>
              <w:t>Complete</w:t>
            </w:r>
          </w:p>
        </w:tc>
        <w:tc>
          <w:tcPr>
            <w:tcW w:type="dxa" w:w="190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color w:val="2E7D32"/>
                <w:sz w:val="16"/>
              </w:rPr>
              <w:t>Complete</w:t>
            </w:r>
          </w:p>
        </w:tc>
        <w:tc>
          <w:tcPr>
            <w:tcW w:type="dxa" w:w="4260"/>
            <w:tcMar>
              <w:top w:w="110" w:type="dxa"/>
              <w:start w:w="140" w:type="dxa"/>
              <w:bottom w:w="110" w:type="dxa"/>
              <w:end w:w="140" w:type="dxa"/>
            </w:tcMar>
            <w:vAlign w:val="center"/>
            <w:shd w:fill="FFFFFF"/>
          </w:tcPr>
          <w:p>
            <w:pPr>
              <w:spacing w:before="0" w:after="40" w:line="240" w:lineRule="auto"/>
            </w:pPr>
            <w:r>
              <w:rPr>
                <w:rFonts w:ascii="Calibri" w:hAnsi="Calibri"/>
                <w:b w:val="0"/>
                <w:i w:val="0"/>
                <w:color w:val="273444"/>
                <w:sz w:val="17"/>
              </w:rPr>
              <w:t>Validation, hashing, provenance, errors, live input contracts, and persistence implemented.</w:t>
            </w:r>
          </w:p>
        </w:tc>
      </w:tr>
      <w:tr>
        <w:trPr>
          <w:cantSplit/>
        </w:trPr>
        <w:tc>
          <w:tcPr>
            <w:tcW w:type="dxa" w:w="1750"/>
            <w:shd w:fill="E8EEF5"/>
            <w:tcMar>
              <w:top w:w="110" w:type="dxa"/>
              <w:start w:w="140" w:type="dxa"/>
              <w:bottom w:w="110" w:type="dxa"/>
              <w:end w:w="140" w:type="dxa"/>
            </w:tcMar>
            <w:vAlign w:val="center"/>
          </w:tcPr>
          <w:p>
            <w:pPr>
              <w:spacing w:before="0" w:after="40" w:line="240" w:lineRule="auto"/>
            </w:pPr>
            <w:r>
              <w:rPr>
                <w:rFonts w:ascii="Calibri" w:hAnsi="Calibri"/>
                <w:b/>
                <w:i w:val="0"/>
                <w:color w:val="0B2545"/>
                <w:sz w:val="17"/>
              </w:rPr>
              <w:t>4. Canonical model</w:t>
            </w:r>
          </w:p>
        </w:tc>
        <w:tc>
          <w:tcPr>
            <w:tcW w:type="dxa" w:w="145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color w:val="2E7D32"/>
                <w:sz w:val="16"/>
              </w:rPr>
              <w:t>Complete</w:t>
            </w:r>
          </w:p>
        </w:tc>
        <w:tc>
          <w:tcPr>
            <w:tcW w:type="dxa" w:w="190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color w:val="2E7D32"/>
                <w:sz w:val="16"/>
              </w:rPr>
              <w:t>Complete</w:t>
            </w:r>
          </w:p>
        </w:tc>
        <w:tc>
          <w:tcPr>
            <w:tcW w:type="dxa" w:w="4260"/>
            <w:shd w:fill="F8FAFC"/>
            <w:tcMar>
              <w:top w:w="110" w:type="dxa"/>
              <w:start w:w="140" w:type="dxa"/>
              <w:bottom w:w="110" w:type="dxa"/>
              <w:end w:w="140" w:type="dxa"/>
            </w:tcMar>
            <w:vAlign w:val="center"/>
          </w:tcPr>
          <w:p>
            <w:pPr>
              <w:spacing w:before="0" w:after="40" w:line="240" w:lineRule="auto"/>
            </w:pPr>
            <w:r>
              <w:rPr>
                <w:rFonts w:ascii="Calibri" w:hAnsi="Calibri"/>
                <w:b w:val="0"/>
                <w:color w:val="273444"/>
                <w:sz w:val="17"/>
              </w:rPr>
              <w:t>CASAS and TON_IoT telemetry mappings are implemented and the corresponding roadmap items are now checked.</w:t>
            </w:r>
          </w:p>
        </w:tc>
      </w:tr>
      <w:tr>
        <w:trPr>
          <w:cantSplit/>
        </w:trPr>
        <w:tc>
          <w:tcPr>
            <w:tcW w:type="dxa" w:w="1750"/>
            <w:tcMar>
              <w:top w:w="110" w:type="dxa"/>
              <w:start w:w="140" w:type="dxa"/>
              <w:bottom w:w="110" w:type="dxa"/>
              <w:end w:w="140" w:type="dxa"/>
            </w:tcMar>
            <w:vAlign w:val="center"/>
            <w:shd w:fill="E8EEF5"/>
          </w:tcPr>
          <w:p>
            <w:pPr>
              <w:spacing w:before="0" w:after="40" w:line="240" w:lineRule="auto"/>
            </w:pPr>
            <w:r>
              <w:rPr>
                <w:rFonts w:ascii="Calibri" w:hAnsi="Calibri"/>
                <w:b/>
                <w:i w:val="0"/>
                <w:color w:val="0B2545"/>
                <w:sz w:val="17"/>
              </w:rPr>
              <w:t>5. Live IoT integration</w:t>
            </w:r>
          </w:p>
        </w:tc>
        <w:tc>
          <w:tcPr>
            <w:tcW w:type="dxa" w:w="1450"/>
            <w:tcMar>
              <w:top w:w="110" w:type="dxa"/>
              <w:start w:w="140" w:type="dxa"/>
              <w:bottom w:w="110" w:type="dxa"/>
              <w:end w:w="140" w:type="dxa"/>
            </w:tcMar>
            <w:vAlign w:val="center"/>
            <w:shd w:fill="EDF3FA"/>
          </w:tcPr>
          <w:p>
            <w:pPr>
              <w:spacing w:before="0" w:after="40" w:line="240" w:lineRule="auto"/>
              <w:jc w:val="center"/>
            </w:pPr>
            <w:r>
              <w:rPr>
                <w:rFonts w:ascii="Calibri" w:hAnsi="Calibri"/>
                <w:b/>
                <w:i w:val="0"/>
                <w:color w:val="1F4D78"/>
                <w:sz w:val="16"/>
              </w:rPr>
              <w:t>13 items unchecked</w:t>
            </w:r>
          </w:p>
        </w:tc>
        <w:tc>
          <w:tcPr>
            <w:tcW w:type="dxa" w:w="1900"/>
            <w:shd w:fill="EDF3FA"/>
            <w:tcMar>
              <w:top w:w="110" w:type="dxa"/>
              <w:start w:w="140" w:type="dxa"/>
              <w:bottom w:w="110" w:type="dxa"/>
              <w:end w:w="140" w:type="dxa"/>
            </w:tcMar>
            <w:shd w:fill="E8EEF5"/>
            <w:vAlign w:val="center"/>
          </w:tcPr>
          <w:p>
            <w:pPr>
              <w:spacing w:before="0" w:after="40" w:line="240" w:lineRule="auto"/>
              <w:jc w:val="center"/>
            </w:pPr>
            <w:r>
              <w:rPr>
                <w:rFonts w:ascii="Calibri" w:hAnsi="Calibri"/>
                <w:b/>
                <w:color w:val="1F4D78"/>
                <w:sz w:val="16"/>
              </w:rPr>
              <w:t>Software path implemented</w:t>
            </w:r>
          </w:p>
        </w:tc>
        <w:tc>
          <w:tcPr>
            <w:tcW w:type="dxa" w:w="4260"/>
            <w:tcMar>
              <w:top w:w="110" w:type="dxa"/>
              <w:start w:w="140" w:type="dxa"/>
              <w:bottom w:w="110" w:type="dxa"/>
              <w:end w:w="140" w:type="dxa"/>
            </w:tcMar>
            <w:vAlign w:val="center"/>
            <w:shd w:fill="FFFFFF"/>
          </w:tcPr>
          <w:p>
            <w:pPr>
              <w:spacing w:before="0" w:after="40" w:line="240" w:lineRule="auto"/>
            </w:pPr>
            <w:r>
              <w:rPr>
                <w:rFonts w:ascii="Calibri" w:hAnsi="Calibri"/>
                <w:b w:val="0"/>
                <w:i w:val="0"/>
                <w:color w:val="273444"/>
                <w:sz w:val="17"/>
              </w:rPr>
              <w:t>Authenticated HTTP intake, durable sessions/receipts, device state, persistence, analysis handoff, and controlled simulator delivered.</w:t>
            </w:r>
          </w:p>
        </w:tc>
      </w:tr>
      <w:tr>
        <w:trPr>
          <w:cantSplit/>
        </w:trPr>
        <w:tc>
          <w:tcPr>
            <w:tcW w:type="dxa" w:w="1750"/>
            <w:shd w:fill="E8EEF5"/>
            <w:tcMar>
              <w:top w:w="110" w:type="dxa"/>
              <w:start w:w="140" w:type="dxa"/>
              <w:bottom w:w="110" w:type="dxa"/>
              <w:end w:w="140" w:type="dxa"/>
            </w:tcMar>
            <w:vAlign w:val="center"/>
          </w:tcPr>
          <w:p>
            <w:pPr>
              <w:spacing w:before="0" w:after="40" w:line="240" w:lineRule="auto"/>
            </w:pPr>
            <w:r>
              <w:rPr>
                <w:rFonts w:ascii="Calibri" w:hAnsi="Calibri"/>
                <w:b/>
                <w:i w:val="0"/>
                <w:color w:val="0B2545"/>
                <w:sz w:val="17"/>
              </w:rPr>
              <w:t>6. Detection &amp; correlation</w:t>
            </w:r>
          </w:p>
        </w:tc>
        <w:tc>
          <w:tcPr>
            <w:tcW w:type="dxa" w:w="145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i w:val="0"/>
                <w:color w:val="2E7D32"/>
                <w:sz w:val="16"/>
              </w:rPr>
              <w:t>Complete</w:t>
            </w:r>
          </w:p>
        </w:tc>
        <w:tc>
          <w:tcPr>
            <w:tcW w:type="dxa" w:w="1900"/>
            <w:tcMar>
              <w:top w:w="110" w:type="dxa"/>
              <w:start w:w="140" w:type="dxa"/>
              <w:bottom w:w="110" w:type="dxa"/>
              <w:end w:w="140" w:type="dxa"/>
            </w:tcMar>
            <w:vAlign w:val="center"/>
            <w:shd w:val="clear" w:color="auto" w:fill="E8F5E9"/>
          </w:tcPr>
          <w:p>
            <w:pPr>
              <w:spacing w:before="0" w:after="40" w:line="240" w:lineRule="auto"/>
              <w:jc w:val="center"/>
            </w:pPr>
            <w:r>
              <w:rPr>
                <w:rFonts w:ascii="Calibri" w:hAnsi="Calibri"/>
                <w:b/>
                <w:color w:val="2E7D32"/>
                <w:sz w:val="16"/>
              </w:rPr>
              <w:t>Complete</w:t>
            </w:r>
          </w:p>
        </w:tc>
        <w:tc>
          <w:tcPr>
            <w:tcW w:type="dxa" w:w="4260"/>
            <w:shd w:fill="F8FAFC"/>
            <w:tcMar>
              <w:top w:w="110" w:type="dxa"/>
              <w:start w:w="140" w:type="dxa"/>
              <w:bottom w:w="110" w:type="dxa"/>
              <w:end w:w="140" w:type="dxa"/>
            </w:tcMar>
            <w:vAlign w:val="center"/>
          </w:tcPr>
          <w:p>
            <w:pPr>
              <w:spacing w:before="0" w:after="40" w:line="240" w:lineRule="auto"/>
            </w:pPr>
            <w:r>
              <w:rPr>
                <w:rFonts w:ascii="Calibri" w:hAnsi="Calibri"/>
                <w:b w:val="0"/>
                <w:i w:val="0"/>
                <w:color w:val="273444"/>
                <w:sz w:val="17"/>
              </w:rPr>
              <w:t>Deterministic filters, rules, baselines, risk scoring, correlation, timelines, graphs, aggregates, and live alerts delivered.</w:t>
            </w:r>
          </w:p>
        </w:tc>
      </w:tr>
      <w:tr>
        <w:trPr>
          <w:cantSplit/>
        </w:trPr>
        <w:tc>
          <w:tcPr>
            <w:tcW w:type="dxa" w:w="1750"/>
            <w:tcMar>
              <w:top w:w="110" w:type="dxa"/>
              <w:start w:w="140" w:type="dxa"/>
              <w:bottom w:w="110" w:type="dxa"/>
              <w:end w:w="140" w:type="dxa"/>
            </w:tcMar>
            <w:vAlign w:val="center"/>
            <w:shd w:fill="E8EEF5"/>
          </w:tcPr>
          <w:p>
            <w:pPr>
              <w:spacing w:before="0" w:after="40" w:line="240" w:lineRule="auto"/>
            </w:pPr>
            <w:r>
              <w:rPr>
                <w:rFonts w:ascii="Calibri" w:hAnsi="Calibri"/>
                <w:b/>
                <w:i w:val="0"/>
                <w:color w:val="0B2545"/>
                <w:sz w:val="17"/>
              </w:rPr>
              <w:t>7. Real-time delivery</w:t>
            </w:r>
          </w:p>
        </w:tc>
        <w:tc>
          <w:tcPr>
            <w:tcW w:type="dxa" w:w="1450"/>
            <w:tcMar>
              <w:top w:w="110" w:type="dxa"/>
              <w:start w:w="140" w:type="dxa"/>
              <w:bottom w:w="110" w:type="dxa"/>
              <w:end w:w="140" w:type="dxa"/>
            </w:tcMar>
            <w:vAlign w:val="center"/>
            <w:shd w:fill="EDF3FA"/>
          </w:tcPr>
          <w:p>
            <w:pPr>
              <w:spacing w:before="0" w:after="40" w:line="240" w:lineRule="auto"/>
              <w:jc w:val="center"/>
            </w:pPr>
            <w:r>
              <w:rPr>
                <w:rFonts w:ascii="Calibri" w:hAnsi="Calibri"/>
                <w:b/>
                <w:i w:val="0"/>
                <w:color w:val="1F4D78"/>
                <w:sz w:val="16"/>
              </w:rPr>
              <w:t>10 items unchecked</w:t>
            </w:r>
          </w:p>
        </w:tc>
        <w:tc>
          <w:tcPr>
            <w:tcW w:type="dxa" w:w="1900"/>
            <w:shd w:fill="EDF3FA"/>
            <w:tcMar>
              <w:top w:w="110" w:type="dxa"/>
              <w:start w:w="140" w:type="dxa"/>
              <w:bottom w:w="110" w:type="dxa"/>
              <w:end w:w="140" w:type="dxa"/>
            </w:tcMar>
            <w:shd w:fill="E8EEF5"/>
            <w:vAlign w:val="center"/>
          </w:tcPr>
          <w:p>
            <w:pPr>
              <w:spacing w:before="0" w:after="40" w:line="240" w:lineRule="auto"/>
              <w:jc w:val="center"/>
            </w:pPr>
            <w:r>
              <w:rPr>
                <w:rFonts w:ascii="Calibri" w:hAnsi="Calibri"/>
                <w:b/>
                <w:color w:val="1F4D78"/>
                <w:sz w:val="16"/>
              </w:rPr>
              <w:t>Implemented in later work</w:t>
            </w:r>
          </w:p>
        </w:tc>
        <w:tc>
          <w:tcPr>
            <w:tcW w:type="dxa" w:w="4260"/>
            <w:tcMar>
              <w:top w:w="110" w:type="dxa"/>
              <w:start w:w="140" w:type="dxa"/>
              <w:bottom w:w="110" w:type="dxa"/>
              <w:end w:w="140" w:type="dxa"/>
            </w:tcMar>
            <w:vAlign w:val="center"/>
            <w:shd w:fill="FFFFFF"/>
          </w:tcPr>
          <w:p>
            <w:pPr>
              <w:spacing w:before="0" w:after="40" w:line="240" w:lineRule="auto"/>
            </w:pPr>
            <w:r>
              <w:rPr>
                <w:rFonts w:ascii="Calibri" w:hAnsi="Calibri"/>
                <w:b w:val="0"/>
                <w:i w:val="0"/>
                <w:color w:val="273444"/>
                <w:sz w:val="17"/>
              </w:rPr>
              <w:t>SSE replay/reconnect/deduplication, bounded buffers, live events/alerts/device state, and forensic boundaries delivered.</w:t>
            </w:r>
          </w:p>
        </w:tc>
      </w:tr>
      <w:tr>
        <w:trPr>
          <w:cantSplit/>
        </w:trPr>
        <w:tc>
          <w:tcPr>
            <w:tcW w:type="dxa" w:w="1750"/>
            <w:shd w:fill="E8EEF5"/>
            <w:tcMar>
              <w:top w:w="110" w:type="dxa"/>
              <w:start w:w="140" w:type="dxa"/>
              <w:bottom w:w="110" w:type="dxa"/>
              <w:end w:w="140" w:type="dxa"/>
            </w:tcMar>
            <w:vAlign w:val="center"/>
          </w:tcPr>
          <w:p>
            <w:pPr>
              <w:spacing w:before="0" w:after="40" w:line="240" w:lineRule="auto"/>
            </w:pPr>
            <w:r>
              <w:rPr>
                <w:rFonts w:ascii="Calibri" w:hAnsi="Calibri"/>
                <w:b/>
                <w:i w:val="0"/>
                <w:color w:val="0B2545"/>
                <w:sz w:val="17"/>
              </w:rPr>
              <w:t>8. Investigation APIs</w:t>
            </w:r>
          </w:p>
        </w:tc>
        <w:tc>
          <w:tcPr>
            <w:tcW w:type="dxa" w:w="1450"/>
            <w:shd w:fill="EDF3FA"/>
            <w:tcMar>
              <w:top w:w="110" w:type="dxa"/>
              <w:start w:w="140" w:type="dxa"/>
              <w:bottom w:w="110" w:type="dxa"/>
              <w:end w:w="140" w:type="dxa"/>
            </w:tcMar>
            <w:vAlign w:val="center"/>
          </w:tcPr>
          <w:p>
            <w:pPr>
              <w:spacing w:before="0" w:after="40" w:line="240" w:lineRule="auto"/>
              <w:jc w:val="center"/>
            </w:pPr>
            <w:r>
              <w:rPr>
                <w:rFonts w:ascii="Calibri" w:hAnsi="Calibri"/>
                <w:b/>
                <w:i w:val="0"/>
                <w:color w:val="1F4D78"/>
                <w:sz w:val="16"/>
              </w:rPr>
              <w:t>13 items unchecked</w:t>
            </w:r>
          </w:p>
        </w:tc>
        <w:tc>
          <w:tcPr>
            <w:tcW w:type="dxa" w:w="1900"/>
            <w:shd w:fill="EDF3FA"/>
            <w:tcMar>
              <w:top w:w="110" w:type="dxa"/>
              <w:start w:w="140" w:type="dxa"/>
              <w:bottom w:w="110" w:type="dxa"/>
              <w:end w:w="140" w:type="dxa"/>
            </w:tcMar>
            <w:shd w:fill="E8EEF5"/>
            <w:vAlign w:val="center"/>
          </w:tcPr>
          <w:p>
            <w:pPr>
              <w:spacing w:before="0" w:after="40" w:line="240" w:lineRule="auto"/>
              <w:jc w:val="center"/>
            </w:pPr>
            <w:r>
              <w:rPr>
                <w:rFonts w:ascii="Calibri" w:hAnsi="Calibri"/>
                <w:b/>
                <w:color w:val="1F4D78"/>
                <w:sz w:val="16"/>
              </w:rPr>
              <w:t>Implemented in later work</w:t>
            </w:r>
          </w:p>
        </w:tc>
        <w:tc>
          <w:tcPr>
            <w:tcW w:type="dxa" w:w="4260"/>
            <w:shd w:fill="F8FAFC"/>
            <w:tcMar>
              <w:top w:w="110" w:type="dxa"/>
              <w:start w:w="140" w:type="dxa"/>
              <w:bottom w:w="110" w:type="dxa"/>
              <w:end w:w="140" w:type="dxa"/>
            </w:tcMar>
            <w:vAlign w:val="center"/>
          </w:tcPr>
          <w:p>
            <w:pPr>
              <w:spacing w:before="0" w:after="40" w:line="240" w:lineRule="auto"/>
            </w:pPr>
            <w:r>
              <w:rPr>
                <w:rFonts w:ascii="Calibri" w:hAnsi="Calibri"/>
                <w:b w:val="0"/>
                <w:i w:val="0"/>
                <w:color w:val="273444"/>
                <w:sz w:val="17"/>
              </w:rPr>
              <w:t>Case, evidence, event, analysis, timeline, graph, analytics, overview, filtering, pagination, and reanalysis APIs delivered.</w:t>
            </w:r>
          </w:p>
        </w:tc>
      </w:tr>
      <w:tr>
        <w:trPr>
          <w:cantSplit/>
        </w:trPr>
        <w:tc>
          <w:tcPr>
            <w:tcW w:type="dxa" w:w="1750"/>
            <w:tcMar>
              <w:top w:w="110" w:type="dxa"/>
              <w:start w:w="140" w:type="dxa"/>
              <w:bottom w:w="110" w:type="dxa"/>
              <w:end w:w="140" w:type="dxa"/>
            </w:tcMar>
            <w:vAlign w:val="center"/>
            <w:shd w:fill="E8EEF5"/>
          </w:tcPr>
          <w:p>
            <w:pPr>
              <w:spacing w:before="0" w:after="40" w:line="240" w:lineRule="auto"/>
            </w:pPr>
            <w:r>
              <w:rPr>
                <w:rFonts w:ascii="Calibri" w:hAnsi="Calibri"/>
                <w:b/>
                <w:i w:val="0"/>
                <w:color w:val="0B2545"/>
                <w:sz w:val="17"/>
              </w:rPr>
              <w:t>9. Visualization + Qwen</w:t>
            </w:r>
          </w:p>
        </w:tc>
        <w:tc>
          <w:tcPr>
            <w:tcW w:type="dxa" w:w="1450"/>
            <w:tcMar>
              <w:top w:w="110" w:type="dxa"/>
              <w:start w:w="140" w:type="dxa"/>
              <w:bottom w:w="110" w:type="dxa"/>
              <w:end w:w="140" w:type="dxa"/>
            </w:tcMar>
            <w:vAlign w:val="center"/>
            <w:shd w:fill="EDF3FA"/>
          </w:tcPr>
          <w:p>
            <w:pPr>
              <w:spacing w:before="0" w:after="40" w:line="240" w:lineRule="auto"/>
              <w:jc w:val="center"/>
            </w:pPr>
            <w:r>
              <w:rPr>
                <w:rFonts w:ascii="Calibri" w:hAnsi="Calibri"/>
                <w:b/>
                <w:i w:val="0"/>
                <w:color w:val="1F4D78"/>
                <w:sz w:val="16"/>
              </w:rPr>
              <w:t>10 items unchecked</w:t>
            </w:r>
          </w:p>
        </w:tc>
        <w:tc>
          <w:tcPr>
            <w:tcW w:type="dxa" w:w="1900"/>
            <w:shd w:fill="EDF3FA"/>
            <w:tcMar>
              <w:top w:w="110" w:type="dxa"/>
              <w:start w:w="140" w:type="dxa"/>
              <w:bottom w:w="110" w:type="dxa"/>
              <w:end w:w="140" w:type="dxa"/>
            </w:tcMar>
            <w:shd w:fill="E8EEF5"/>
            <w:vAlign w:val="center"/>
          </w:tcPr>
          <w:p>
            <w:pPr>
              <w:spacing w:before="0" w:after="40" w:line="240" w:lineRule="auto"/>
              <w:jc w:val="center"/>
            </w:pPr>
            <w:r>
              <w:rPr>
                <w:rFonts w:ascii="Calibri" w:hAnsi="Calibri"/>
                <w:b/>
                <w:color w:val="1F4D78"/>
                <w:sz w:val="16"/>
              </w:rPr>
              <w:t>Implemented in later work</w:t>
            </w:r>
          </w:p>
        </w:tc>
        <w:tc>
          <w:tcPr>
            <w:tcW w:type="dxa" w:w="4260"/>
            <w:tcMar>
              <w:top w:w="110" w:type="dxa"/>
              <w:start w:w="140" w:type="dxa"/>
              <w:bottom w:w="110" w:type="dxa"/>
              <w:end w:w="140" w:type="dxa"/>
            </w:tcMar>
            <w:vAlign w:val="center"/>
            <w:shd w:fill="FFFFFF"/>
          </w:tcPr>
          <w:p>
            <w:pPr>
              <w:spacing w:before="0" w:after="40" w:line="240" w:lineRule="auto"/>
            </w:pPr>
            <w:r>
              <w:rPr>
                <w:rFonts w:ascii="Calibri" w:hAnsi="Calibri"/>
                <w:b w:val="0"/>
                <w:i w:val="0"/>
                <w:color w:val="273444"/>
                <w:sz w:val="17"/>
              </w:rPr>
              <w:t>Validated safe visualization specifications, grounded optional Ollama assistance, and deterministic fallbacks delivered.</w:t>
            </w:r>
          </w:p>
        </w:tc>
      </w:tr>
      <w:tr>
        <w:trPr>
          <w:cantSplit/>
        </w:trPr>
        <w:tc>
          <w:tcPr>
            <w:tcW w:type="dxa" w:w="1750"/>
            <w:shd w:fill="E8EEF5"/>
            <w:tcMar>
              <w:top w:w="110" w:type="dxa"/>
              <w:start w:w="140" w:type="dxa"/>
              <w:bottom w:w="110" w:type="dxa"/>
              <w:end w:w="140" w:type="dxa"/>
            </w:tcMar>
            <w:vAlign w:val="center"/>
          </w:tcPr>
          <w:p>
            <w:pPr>
              <w:spacing w:before="0" w:after="40" w:line="240" w:lineRule="auto"/>
            </w:pPr>
            <w:r>
              <w:rPr>
                <w:rFonts w:ascii="Calibri" w:hAnsi="Calibri"/>
                <w:b/>
                <w:i w:val="0"/>
                <w:color w:val="0B2545"/>
                <w:sz w:val="17"/>
              </w:rPr>
              <w:t>10. Investigation chat</w:t>
            </w:r>
          </w:p>
        </w:tc>
        <w:tc>
          <w:tcPr>
            <w:tcW w:type="dxa" w:w="1450"/>
            <w:shd w:fill="EDF3FA"/>
            <w:tcMar>
              <w:top w:w="110" w:type="dxa"/>
              <w:start w:w="140" w:type="dxa"/>
              <w:bottom w:w="110" w:type="dxa"/>
              <w:end w:w="140" w:type="dxa"/>
            </w:tcMar>
            <w:vAlign w:val="center"/>
          </w:tcPr>
          <w:p>
            <w:pPr>
              <w:spacing w:before="0" w:after="40" w:line="240" w:lineRule="auto"/>
              <w:jc w:val="center"/>
            </w:pPr>
            <w:r>
              <w:rPr>
                <w:rFonts w:ascii="Calibri" w:hAnsi="Calibri"/>
                <w:b/>
                <w:i w:val="0"/>
                <w:color w:val="1F4D78"/>
                <w:sz w:val="16"/>
              </w:rPr>
              <w:t>9 items unchecked</w:t>
            </w:r>
          </w:p>
        </w:tc>
        <w:tc>
          <w:tcPr>
            <w:tcW w:type="dxa" w:w="1900"/>
            <w:shd w:fill="EDF3FA"/>
            <w:tcMar>
              <w:top w:w="110" w:type="dxa"/>
              <w:start w:w="140" w:type="dxa"/>
              <w:bottom w:w="110" w:type="dxa"/>
              <w:end w:w="140" w:type="dxa"/>
            </w:tcMar>
            <w:shd w:fill="E8EEF5"/>
            <w:vAlign w:val="center"/>
          </w:tcPr>
          <w:p>
            <w:pPr>
              <w:spacing w:before="0" w:after="40" w:line="240" w:lineRule="auto"/>
              <w:jc w:val="center"/>
            </w:pPr>
            <w:r>
              <w:rPr>
                <w:rFonts w:ascii="Calibri" w:hAnsi="Calibri"/>
                <w:b/>
                <w:color w:val="1F4D78"/>
                <w:sz w:val="16"/>
              </w:rPr>
              <w:t>Implemented in later work</w:t>
            </w:r>
          </w:p>
        </w:tc>
        <w:tc>
          <w:tcPr>
            <w:tcW w:type="dxa" w:w="4260"/>
            <w:shd w:fill="F8FAFC"/>
            <w:tcMar>
              <w:top w:w="110" w:type="dxa"/>
              <w:start w:w="140" w:type="dxa"/>
              <w:bottom w:w="110" w:type="dxa"/>
              <w:end w:w="140" w:type="dxa"/>
            </w:tcMar>
            <w:vAlign w:val="center"/>
          </w:tcPr>
          <w:p>
            <w:pPr>
              <w:spacing w:before="0" w:after="40" w:line="240" w:lineRule="auto"/>
            </w:pPr>
            <w:r>
              <w:rPr>
                <w:rFonts w:ascii="Calibri" w:hAnsi="Calibri"/>
                <w:b w:val="0"/>
                <w:i w:val="0"/>
                <w:color w:val="273444"/>
                <w:sz w:val="17"/>
              </w:rPr>
              <w:t>Persisted case assistant sessions, bounded retrieval, citations, explanations, and offline handling delivered.</w:t>
            </w:r>
          </w:p>
        </w:tc>
      </w:tr>
      <w:tr>
        <w:trPr>
          <w:cantSplit/>
        </w:trPr>
        <w:tc>
          <w:tcPr>
            <w:tcW w:type="dxa" w:w="1750"/>
            <w:tcMar>
              <w:top w:w="110" w:type="dxa"/>
              <w:start w:w="140" w:type="dxa"/>
              <w:bottom w:w="110" w:type="dxa"/>
              <w:end w:w="140" w:type="dxa"/>
            </w:tcMar>
            <w:vAlign w:val="center"/>
            <w:shd w:fill="E8EEF5"/>
          </w:tcPr>
          <w:p>
            <w:pPr>
              <w:spacing w:before="0" w:after="40" w:line="240" w:lineRule="auto"/>
            </w:pPr>
            <w:r>
              <w:rPr>
                <w:rFonts w:ascii="Calibri" w:hAnsi="Calibri"/>
                <w:b/>
                <w:i w:val="0"/>
                <w:color w:val="0B2545"/>
                <w:sz w:val="17"/>
              </w:rPr>
              <w:t>11. Alerts, reports &amp; email</w:t>
            </w:r>
          </w:p>
        </w:tc>
        <w:tc>
          <w:tcPr>
            <w:tcW w:type="dxa" w:w="1450"/>
            <w:tcMar>
              <w:top w:w="110" w:type="dxa"/>
              <w:start w:w="140" w:type="dxa"/>
              <w:bottom w:w="110" w:type="dxa"/>
              <w:end w:w="140" w:type="dxa"/>
            </w:tcMar>
            <w:vAlign w:val="center"/>
            <w:shd w:fill="EDF3FA"/>
          </w:tcPr>
          <w:p>
            <w:pPr>
              <w:spacing w:before="0" w:after="40" w:line="240" w:lineRule="auto"/>
              <w:jc w:val="center"/>
            </w:pPr>
            <w:r>
              <w:rPr>
                <w:rFonts w:ascii="Calibri" w:hAnsi="Calibri"/>
                <w:b/>
                <w:i w:val="0"/>
                <w:color w:val="1F4D78"/>
                <w:sz w:val="16"/>
              </w:rPr>
              <w:t>10 items unchecked</w:t>
            </w:r>
          </w:p>
        </w:tc>
        <w:tc>
          <w:tcPr>
            <w:tcW w:type="dxa" w:w="1900"/>
            <w:shd w:fill="EDF3FA"/>
            <w:tcMar>
              <w:top w:w="110" w:type="dxa"/>
              <w:start w:w="140" w:type="dxa"/>
              <w:bottom w:w="110" w:type="dxa"/>
              <w:end w:w="140" w:type="dxa"/>
            </w:tcMar>
            <w:shd w:fill="E8EEF5"/>
            <w:vAlign w:val="center"/>
          </w:tcPr>
          <w:p>
            <w:pPr>
              <w:spacing w:before="0" w:after="40" w:line="240" w:lineRule="auto"/>
              <w:jc w:val="center"/>
            </w:pPr>
            <w:r>
              <w:rPr>
                <w:rFonts w:ascii="Calibri" w:hAnsi="Calibri"/>
                <w:b/>
                <w:color w:val="1F4D78"/>
                <w:sz w:val="16"/>
              </w:rPr>
              <w:t>Implemented in later work</w:t>
            </w:r>
          </w:p>
        </w:tc>
        <w:tc>
          <w:tcPr>
            <w:tcW w:type="dxa" w:w="4260"/>
            <w:tcMar>
              <w:top w:w="110" w:type="dxa"/>
              <w:start w:w="140" w:type="dxa"/>
              <w:bottom w:w="110" w:type="dxa"/>
              <w:end w:w="140" w:type="dxa"/>
            </w:tcMar>
            <w:vAlign w:val="center"/>
            <w:shd w:fill="FFFFFF"/>
          </w:tcPr>
          <w:p>
            <w:pPr>
              <w:spacing w:before="0" w:after="40" w:line="240" w:lineRule="auto"/>
            </w:pPr>
            <w:r>
              <w:rPr>
                <w:rFonts w:ascii="Calibri" w:hAnsi="Calibri"/>
                <w:b w:val="0"/>
                <w:i w:val="0"/>
                <w:color w:val="273444"/>
                <w:sz w:val="17"/>
              </w:rPr>
              <w:t>Deterministic PDFs, immutable versions/hashes, approvals, SMTP drafts/sending controls, and audit history delivered.</w:t>
            </w:r>
          </w:p>
        </w:tc>
      </w:tr>
      <w:tr>
        <w:trPr>
          <w:cantSplit/>
        </w:trPr>
        <w:tc>
          <w:tcPr>
            <w:tcW w:type="dxa" w:w="1750"/>
            <w:shd w:fill="E8EEF5"/>
            <w:tcMar>
              <w:top w:w="110" w:type="dxa"/>
              <w:start w:w="140" w:type="dxa"/>
              <w:bottom w:w="110" w:type="dxa"/>
              <w:end w:w="140" w:type="dxa"/>
            </w:tcMar>
            <w:vAlign w:val="center"/>
          </w:tcPr>
          <w:p>
            <w:pPr>
              <w:spacing w:before="0" w:after="40" w:line="240" w:lineRule="auto"/>
            </w:pPr>
            <w:r>
              <w:rPr>
                <w:rFonts w:ascii="Calibri" w:hAnsi="Calibri"/>
                <w:b/>
                <w:i w:val="0"/>
                <w:color w:val="0B2545"/>
                <w:sz w:val="17"/>
              </w:rPr>
              <w:t>12. Live demonstration</w:t>
            </w:r>
          </w:p>
        </w:tc>
        <w:tc>
          <w:tcPr>
            <w:tcW w:type="dxa" w:w="1450"/>
            <w:shd w:fill="EDF3FA"/>
            <w:tcMar>
              <w:top w:w="110" w:type="dxa"/>
              <w:start w:w="140" w:type="dxa"/>
              <w:bottom w:w="110" w:type="dxa"/>
              <w:end w:w="140" w:type="dxa"/>
            </w:tcMar>
            <w:vAlign w:val="center"/>
          </w:tcPr>
          <w:p>
            <w:pPr>
              <w:spacing w:before="0" w:after="40" w:line="240" w:lineRule="auto"/>
              <w:jc w:val="center"/>
            </w:pPr>
            <w:r>
              <w:rPr>
                <w:rFonts w:ascii="Calibri" w:hAnsi="Calibri"/>
                <w:b/>
                <w:i w:val="0"/>
                <w:color w:val="1F4D78"/>
                <w:sz w:val="16"/>
              </w:rPr>
              <w:t>11 items unchecked</w:t>
            </w:r>
          </w:p>
        </w:tc>
        <w:tc>
          <w:tcPr>
            <w:tcW w:type="dxa" w:w="1900"/>
            <w:shd w:fill="FFF4DD"/>
            <w:tcMar>
              <w:top w:w="110" w:type="dxa"/>
              <w:start w:w="140" w:type="dxa"/>
              <w:bottom w:w="110" w:type="dxa"/>
              <w:end w:w="140" w:type="dxa"/>
            </w:tcMar>
            <w:shd w:fill="FFF8E1"/>
            <w:vAlign w:val="center"/>
          </w:tcPr>
          <w:p>
            <w:pPr>
              <w:spacing w:before="0" w:after="40" w:line="240" w:lineRule="auto"/>
              <w:jc w:val="center"/>
            </w:pPr>
            <w:r>
              <w:rPr>
                <w:rFonts w:ascii="Calibri" w:hAnsi="Calibri"/>
                <w:b/>
                <w:color w:val="7A5A00"/>
                <w:sz w:val="16"/>
              </w:rPr>
              <w:t>Simulator path documented</w:t>
            </w:r>
          </w:p>
        </w:tc>
        <w:tc>
          <w:tcPr>
            <w:tcW w:type="dxa" w:w="4260"/>
            <w:shd w:fill="F8FAFC"/>
            <w:tcMar>
              <w:top w:w="110" w:type="dxa"/>
              <w:start w:w="140" w:type="dxa"/>
              <w:bottom w:w="110" w:type="dxa"/>
              <w:end w:w="140" w:type="dxa"/>
            </w:tcMar>
            <w:vAlign w:val="center"/>
          </w:tcPr>
          <w:p>
            <w:pPr>
              <w:spacing w:before="0" w:after="40" w:line="240" w:lineRule="auto"/>
            </w:pPr>
            <w:r>
              <w:rPr>
                <w:rFonts w:ascii="Calibri" w:hAnsi="Calibri"/>
                <w:b w:val="0"/>
                <w:i w:val="0"/>
                <w:color w:val="273444"/>
                <w:sz w:val="17"/>
              </w:rPr>
              <w:t>The controlled authenticated HTTP simulator is the acceptance path; normal, malformed, reconnect, and suspicious scenarios are documented.</w:t>
            </w:r>
          </w:p>
        </w:tc>
      </w:tr>
    </w:tbl>
    <w:p/>
    <w:p>
      <w:pPr>
        <w:pStyle w:val="Heading1"/>
      </w:pPr>
      <w:r>
        <w:t>Team ownership &amp; contributions</w:t>
      </w:r>
    </w:p>
    <w:p>
      <w:r>
        <w:t>The agreed project responsibilities and reviewed contribution history are combined below. Allocated scope records assigned ownership; contribution record summarizes the verified work.</w:t>
      </w:r>
    </w:p>
    <w:tbl>
      <w:tblPr>
        <w:tblW w:type="dxa" w:w="9360"/>
        <w:tblLayout w:type="fixed"/>
        <w:tblLook w:firstColumn="1" w:firstRow="1" w:lastColumn="0" w:lastRow="0" w:noHBand="0" w:noVBand="1" w:val="04A0"/>
        <w:tblInd w:w="120" w:type="dxa"/>
      </w:tblPr>
      <w:tblGrid>
        <w:gridCol w:w="3500"/>
        <w:gridCol w:w="5860"/>
      </w:tblGrid>
      <w:tr>
        <w:tc>
          <w:tcPr>
            <w:tcW w:type="dxa" w:w="3500"/>
            <w:shd w:val="clear" w:color="auto" w:fill="234E70"/>
            <w:tcMar>
              <w:top w:w="125" w:type="dxa"/>
              <w:start w:w="220" w:type="dxa"/>
              <w:bottom w:w="125" w:type="dxa"/>
              <w:end w:w="220" w:type="dxa"/>
            </w:tcMar>
            <w:vAlign w:val="center"/>
            <w:tcBorders>
              <w:top w:val="single" w:sz="8" w:space="0" w:color="234E70"/>
              <w:bottom w:val="single" w:sz="8" w:space="0" w:color="234E70"/>
              <w:left w:val="single" w:sz="8" w:space="0" w:color="234E70"/>
              <w:right w:val="single" w:sz="8" w:space="0" w:color="234E70"/>
            </w:tcBorders>
          </w:tcPr>
          <w:p>
            <w:pPr>
              <w:keepNext/>
              <w:spacing w:after="20"/>
            </w:pPr>
            <w:r>
              <w:rPr>
                <w:rFonts w:ascii="Aptos" w:hAnsi="Aptos"/>
                <w:b/>
                <w:color w:val="FFFFFF"/>
                <w:sz w:val="25"/>
              </w:rPr>
              <w:t>J3DI</w:t>
            </w:r>
            <w:r>
              <w:rPr>
                <w:rFonts w:ascii="Aptos" w:hAnsi="Aptos"/>
                <w:b/>
                <w:color w:val="DCEAF4"/>
                <w:sz w:val="15"/>
              </w:rPr>
              <w:t xml:space="preserve">   PROJECT LEAD</w:t>
            </w:r>
          </w:p>
        </w:tc>
        <w:tc>
          <w:tcPr>
            <w:tcW w:type="dxa" w:w="5860"/>
            <w:shd w:val="clear" w:color="auto" w:fill="234E70"/>
            <w:tcMar>
              <w:top w:w="125" w:type="dxa"/>
              <w:start w:w="220" w:type="dxa"/>
              <w:bottom w:w="125" w:type="dxa"/>
              <w:end w:w="220" w:type="dxa"/>
            </w:tcMar>
            <w:vAlign w:val="center"/>
            <w:tcBorders>
              <w:top w:val="single" w:sz="8" w:space="0" w:color="234E70"/>
              <w:bottom w:val="single" w:sz="8" w:space="0" w:color="234E70"/>
              <w:left w:val="single" w:sz="8" w:space="0" w:color="234E70"/>
              <w:right w:val="single" w:sz="8" w:space="0" w:color="234E70"/>
            </w:tcBorders>
          </w:tcPr>
          <w:p>
            <w:pPr>
              <w:keepNext/>
              <w:spacing w:after="0"/>
              <w:jc w:val="right"/>
            </w:pPr>
            <w:r>
              <w:rPr>
                <w:rFonts w:ascii="Aptos" w:hAnsi="Aptos"/>
                <w:b/>
                <w:color w:val="DCEAF4"/>
                <w:sz w:val="15"/>
              </w:rPr>
              <w:t xml:space="preserve">ASSIGNED STEPS   </w:t>
            </w:r>
            <w:r>
              <w:rPr>
                <w:rFonts w:ascii="Aptos" w:hAnsi="Aptos"/>
                <w:b/>
                <w:color w:val="FFFFFF"/>
                <w:sz w:val="21"/>
              </w:rPr>
              <w:t>01   02   09   10</w:t>
            </w:r>
          </w:p>
        </w:tc>
      </w:tr>
      <w:tr>
        <w:tc>
          <w:tcPr>
            <w:tcW w:type="dxa" w:w="9360"/>
            <w:gridSpan w:val="2"/>
            <w:shd w:val="clear" w:color="auto" w:fill="EEF4F8"/>
            <w:tcMar>
              <w:top w:w="165" w:type="dxa"/>
              <w:start w:w="240" w:type="dxa"/>
              <w:bottom w:w="190" w:type="dxa"/>
              <w:end w:w="240" w:type="dxa"/>
            </w:tcMar>
            <w:vAlign w:val="center"/>
            <w:tcBorders>
              <w:top w:val="nil" w:sz="8" w:space="0" w:color="234E70"/>
              <w:bottom w:val="single" w:sz="8" w:space="0" w:color="234E70"/>
              <w:left w:val="single" w:sz="8" w:space="0" w:color="234E70"/>
              <w:right w:val="single" w:sz="8" w:space="0" w:color="234E70"/>
            </w:tcBorders>
          </w:tcPr>
          <w:p>
            <w:pPr>
              <w:spacing w:after="60"/>
            </w:pPr>
            <w:r>
              <w:rPr>
                <w:rFonts w:ascii="Aptos" w:hAnsi="Aptos"/>
                <w:b/>
                <w:color w:val="234E70"/>
                <w:sz w:val="15"/>
              </w:rPr>
              <w:t>ALLOCATED PROJECT-WIDE OWNERSHIP</w:t>
            </w:r>
          </w:p>
          <w:p>
            <w:pPr>
              <w:spacing w:after="160" w:line="252" w:lineRule="auto"/>
            </w:pPr>
            <w:r>
              <w:rPr>
                <w:rFonts w:ascii="Aptos" w:hAnsi="Aptos"/>
                <w:b w:val="0"/>
                <w:color w:val="243447"/>
                <w:sz w:val="17"/>
              </w:rPr>
              <w:t>Documentation; planning; team coordination and leadership; merging; review; integration oversight; and final polish.</w:t>
            </w:r>
          </w:p>
          <w:p>
            <w:pPr>
              <w:spacing w:after="60"/>
            </w:pPr>
            <w:r>
              <w:rPr>
                <w:rFonts w:ascii="Aptos" w:hAnsi="Aptos"/>
                <w:b/>
                <w:color w:val="234E70"/>
                <w:sz w:val="15"/>
              </w:rPr>
              <w:t>VERIFIED CONTRIBUTION RECORD</w:t>
            </w:r>
          </w:p>
          <w:p>
            <w:pPr>
              <w:pStyle w:val="ListBullet"/>
              <w:spacing w:before="0" w:after="100" w:line="259" w:lineRule="auto"/>
              <w:ind w:left="317" w:hanging="202"/>
            </w:pPr>
            <w:r>
              <w:rPr>
                <w:rFonts w:ascii="Aptos" w:hAnsi="Aptos"/>
                <w:b w:val="0"/>
                <w:color w:val="243447"/>
                <w:sz w:val="17"/>
              </w:rPr>
              <w:t>Served as the overall project lead, owning team coordination, leadership, implementation planning, work sequencing, roadmap management, progress tracking, documentation strategy, integration decisions, and delivery oversight from project initiation through completion.</w:t>
            </w:r>
          </w:p>
          <w:p>
            <w:pPr>
              <w:pStyle w:val="ListBullet"/>
              <w:spacing w:before="0" w:after="100" w:line="259" w:lineRule="auto"/>
              <w:ind w:left="317" w:hanging="202"/>
            </w:pPr>
            <w:r>
              <w:rPr>
                <w:rFonts w:ascii="Aptos" w:hAnsi="Aptos"/>
                <w:b w:val="0"/>
                <w:color w:val="243447"/>
                <w:sz w:val="17"/>
              </w:rPr>
              <w:t>Established the repository and technical foundation, including the React/Vite frontend, FastAPI backend, SQLite and Ollama configuration, health checks, baseline tests, Traceveil identity, and academic project materials.</w:t>
            </w:r>
          </w:p>
          <w:p>
            <w:pPr>
              <w:pStyle w:val="ListBullet"/>
              <w:spacing w:before="0" w:after="100" w:line="259" w:lineRule="auto"/>
              <w:ind w:left="317" w:hanging="202"/>
            </w:pPr>
            <w:r>
              <w:rPr>
                <w:rFonts w:ascii="Aptos" w:hAnsi="Aptos"/>
                <w:b w:val="0"/>
                <w:color w:val="243447"/>
                <w:sz w:val="17"/>
              </w:rPr>
              <w:t>Led and built the frontend architecture and investigation experience: navigation, cases, evidence import, dashboards, timelines, graphs, analytics, assistant, reports, responsive behavior, accessibility, and branding.</w:t>
            </w:r>
          </w:p>
          <w:p>
            <w:pPr>
              <w:pStyle w:val="ListBullet"/>
              <w:spacing w:before="0" w:after="100" w:line="259" w:lineRule="auto"/>
              <w:ind w:left="317" w:hanging="202"/>
            </w:pPr>
            <w:r>
              <w:rPr>
                <w:rFonts w:ascii="Aptos" w:hAnsi="Aptos"/>
                <w:b w:val="0"/>
                <w:color w:val="243447"/>
                <w:sz w:val="17"/>
              </w:rPr>
              <w:t>Coordinated and completed the three-phase integration, dataset-scope corrections, CASAS and TON_IoT telemetry support, OpenAPI and shared-contract boundaries, release integration, branch synchronization, testing and verification, roadmap/status updates, pretesting materials, integration checklists, demo instructions, and final project documentation.</w:t>
            </w:r>
          </w:p>
        </w:tc>
      </w:tr>
      <w:tr>
        <w:tc>
          <w:tcPr>
            <w:tcW w:type="dxa" w:w="3500"/>
            <w:shd w:val="clear" w:color="auto" w:fill="2F6F9F"/>
            <w:tcMar>
              <w:top w:w="125" w:type="dxa"/>
              <w:start w:w="220" w:type="dxa"/>
              <w:bottom w:w="125" w:type="dxa"/>
              <w:end w:w="220" w:type="dxa"/>
            </w:tcMar>
            <w:vAlign w:val="center"/>
            <w:tcBorders>
              <w:top w:val="single" w:sz="8" w:space="0" w:color="2F6F9F"/>
              <w:bottom w:val="single" w:sz="8" w:space="0" w:color="2F6F9F"/>
              <w:left w:val="single" w:sz="8" w:space="0" w:color="2F6F9F"/>
              <w:right w:val="single" w:sz="8" w:space="0" w:color="2F6F9F"/>
            </w:tcBorders>
          </w:tcPr>
          <w:p>
            <w:pPr>
              <w:keepNext/>
              <w:spacing w:after="20"/>
            </w:pPr>
            <w:r>
              <w:rPr>
                <w:rFonts w:ascii="Aptos" w:hAnsi="Aptos"/>
                <w:b/>
                <w:color w:val="FFFFFF"/>
                <w:sz w:val="25"/>
              </w:rPr>
              <w:t>Aarya</w:t>
            </w:r>
            <w:r>
              <w:rPr>
                <w:rFonts w:ascii="Aptos" w:hAnsi="Aptos"/>
                <w:b/>
                <w:color w:val="DCEAF4"/>
                <w:sz w:val="15"/>
              </w:rPr>
              <w:t xml:space="preserve">   CONTRIBUTOR</w:t>
            </w:r>
          </w:p>
        </w:tc>
        <w:tc>
          <w:tcPr>
            <w:tcW w:type="dxa" w:w="5860"/>
            <w:shd w:val="clear" w:color="auto" w:fill="2F6F9F"/>
            <w:tcMar>
              <w:top w:w="125" w:type="dxa"/>
              <w:start w:w="220" w:type="dxa"/>
              <w:bottom w:w="125" w:type="dxa"/>
              <w:end w:w="220" w:type="dxa"/>
            </w:tcMar>
            <w:vAlign w:val="center"/>
            <w:tcBorders>
              <w:top w:val="single" w:sz="8" w:space="0" w:color="2F6F9F"/>
              <w:bottom w:val="single" w:sz="8" w:space="0" w:color="2F6F9F"/>
              <w:left w:val="single" w:sz="8" w:space="0" w:color="2F6F9F"/>
              <w:right w:val="single" w:sz="8" w:space="0" w:color="2F6F9F"/>
            </w:tcBorders>
          </w:tcPr>
          <w:p>
            <w:pPr>
              <w:keepNext/>
              <w:spacing w:after="0"/>
              <w:jc w:val="right"/>
            </w:pPr>
            <w:r>
              <w:rPr>
                <w:rFonts w:ascii="Aptos" w:hAnsi="Aptos"/>
                <w:b/>
                <w:color w:val="DCEAF4"/>
                <w:sz w:val="15"/>
              </w:rPr>
              <w:t xml:space="preserve">ASSIGNED STEPS   </w:t>
            </w:r>
            <w:r>
              <w:rPr>
                <w:rFonts w:ascii="Aptos" w:hAnsi="Aptos"/>
                <w:b/>
                <w:color w:val="FFFFFF"/>
                <w:sz w:val="21"/>
              </w:rPr>
              <w:t>03   04   06   08</w:t>
            </w:r>
          </w:p>
        </w:tc>
      </w:tr>
      <w:tr>
        <w:tc>
          <w:tcPr>
            <w:tcW w:type="dxa" w:w="9360"/>
            <w:gridSpan w:val="2"/>
            <w:shd w:val="clear" w:color="auto" w:fill="F0F6FA"/>
            <w:tcMar>
              <w:top w:w="165" w:type="dxa"/>
              <w:start w:w="240" w:type="dxa"/>
              <w:bottom w:w="190" w:type="dxa"/>
              <w:end w:w="240" w:type="dxa"/>
            </w:tcMar>
            <w:vAlign w:val="center"/>
            <w:tcBorders>
              <w:top w:val="nil" w:sz="8" w:space="0" w:color="2F6F9F"/>
              <w:bottom w:val="single" w:sz="8" w:space="0" w:color="2F6F9F"/>
              <w:left w:val="single" w:sz="8" w:space="0" w:color="2F6F9F"/>
              <w:right w:val="single" w:sz="8" w:space="0" w:color="2F6F9F"/>
            </w:tcBorders>
          </w:tcPr>
          <w:p>
            <w:pPr>
              <w:spacing w:after="60"/>
            </w:pPr>
            <w:r>
              <w:rPr>
                <w:rFonts w:ascii="Aptos" w:hAnsi="Aptos"/>
                <w:b/>
                <w:color w:val="2F6F9F"/>
                <w:sz w:val="15"/>
              </w:rPr>
              <w:t>VERIFIED CONTRIBUTION RECORD</w:t>
            </w:r>
          </w:p>
          <w:p>
            <w:pPr>
              <w:pStyle w:val="ListBullet"/>
              <w:spacing w:before="0" w:after="100" w:line="259" w:lineRule="auto"/>
              <w:ind w:left="317" w:hanging="202"/>
            </w:pPr>
            <w:r>
              <w:rPr>
                <w:rFonts w:ascii="Aptos" w:hAnsi="Aptos"/>
                <w:b w:val="0"/>
                <w:color w:val="243447"/>
                <w:sz w:val="17"/>
              </w:rPr>
              <w:t>Step 3 evidence validation (commit 66b43fe, 6 August 2026): schemas, profiles, hashing, validation rules, persistence/migrations, dataset fixtures, live telemetry contracts, tests, and documentation.</w:t>
            </w:r>
          </w:p>
          <w:p>
            <w:pPr>
              <w:pStyle w:val="ListBullet"/>
              <w:spacing w:before="0" w:after="100" w:line="259" w:lineRule="auto"/>
              <w:ind w:left="317" w:hanging="202"/>
            </w:pPr>
            <w:r>
              <w:rPr>
                <w:rFonts w:ascii="Aptos" w:hAnsi="Aptos"/>
                <w:b w:val="0"/>
                <w:color w:val="243447"/>
                <w:sz w:val="17"/>
              </w:rPr>
              <w:t>Step 4 canonical normalization (commit 72ad28c, 7 August 2026): versioned canonical events, deterministic IDs, provenance, timestamps, simulation/generic/live/network adapters, integrity checks, tests, and contracts.</w:t>
            </w:r>
          </w:p>
          <w:p>
            <w:pPr>
              <w:pStyle w:val="ListBullet"/>
              <w:spacing w:before="0" w:after="100" w:line="259" w:lineRule="auto"/>
              <w:ind w:left="317" w:hanging="202"/>
            </w:pPr>
            <w:r>
              <w:rPr>
                <w:rFonts w:ascii="Aptos" w:hAnsi="Aptos"/>
                <w:b w:val="0"/>
                <w:color w:val="243447"/>
                <w:sz w:val="17"/>
              </w:rPr>
              <w:t>Step 6 deterministic analytics (commit b4d2337, 11 August 2026): filters, sorting, rules, baselines, bounded risk scoring, correlation, incidents, timelines, graphs, chart aggregates, live alerts, tests, and documentation.</w:t>
            </w:r>
          </w:p>
        </w:tc>
      </w:tr>
      <w:tr>
        <w:tc>
          <w:tcPr>
            <w:tcW w:type="dxa" w:w="3500"/>
            <w:shd w:val="clear" w:color="auto" w:fill="187A7A"/>
            <w:tcMar>
              <w:top w:w="125" w:type="dxa"/>
              <w:start w:w="220" w:type="dxa"/>
              <w:bottom w:w="125" w:type="dxa"/>
              <w:end w:w="220" w:type="dxa"/>
            </w:tcMar>
            <w:vAlign w:val="center"/>
            <w:tcBorders>
              <w:top w:val="single" w:sz="8" w:space="0" w:color="187A7A"/>
              <w:bottom w:val="single" w:sz="8" w:space="0" w:color="187A7A"/>
              <w:left w:val="single" w:sz="8" w:space="0" w:color="187A7A"/>
              <w:right w:val="single" w:sz="8" w:space="0" w:color="187A7A"/>
            </w:tcBorders>
          </w:tcPr>
          <w:p>
            <w:pPr>
              <w:keepNext/>
              <w:spacing w:after="20"/>
            </w:pPr>
            <w:r>
              <w:rPr>
                <w:rFonts w:ascii="Aptos" w:hAnsi="Aptos"/>
                <w:b/>
                <w:color w:val="FFFFFF"/>
                <w:sz w:val="25"/>
              </w:rPr>
              <w:t>Ayra</w:t>
            </w:r>
            <w:r>
              <w:rPr>
                <w:rFonts w:ascii="Aptos" w:hAnsi="Aptos"/>
                <w:b/>
                <w:color w:val="DCEAF4"/>
                <w:sz w:val="15"/>
              </w:rPr>
              <w:t xml:space="preserve">   CONTRIBUTOR</w:t>
            </w:r>
          </w:p>
        </w:tc>
        <w:tc>
          <w:tcPr>
            <w:tcW w:type="dxa" w:w="5860"/>
            <w:shd w:val="clear" w:color="auto" w:fill="187A7A"/>
            <w:tcMar>
              <w:top w:w="125" w:type="dxa"/>
              <w:start w:w="220" w:type="dxa"/>
              <w:bottom w:w="125" w:type="dxa"/>
              <w:end w:w="220" w:type="dxa"/>
            </w:tcMar>
            <w:vAlign w:val="center"/>
            <w:tcBorders>
              <w:top w:val="single" w:sz="8" w:space="0" w:color="187A7A"/>
              <w:bottom w:val="single" w:sz="8" w:space="0" w:color="187A7A"/>
              <w:left w:val="single" w:sz="8" w:space="0" w:color="187A7A"/>
              <w:right w:val="single" w:sz="8" w:space="0" w:color="187A7A"/>
            </w:tcBorders>
          </w:tcPr>
          <w:p>
            <w:pPr>
              <w:keepNext/>
              <w:spacing w:after="0"/>
              <w:jc w:val="right"/>
            </w:pPr>
            <w:r>
              <w:rPr>
                <w:rFonts w:ascii="Aptos" w:hAnsi="Aptos"/>
                <w:b/>
                <w:color w:val="DCEAF4"/>
                <w:sz w:val="15"/>
              </w:rPr>
              <w:t xml:space="preserve">ASSIGNED STEPS   </w:t>
            </w:r>
            <w:r>
              <w:rPr>
                <w:rFonts w:ascii="Aptos" w:hAnsi="Aptos"/>
                <w:b/>
                <w:color w:val="FFFFFF"/>
                <w:sz w:val="21"/>
              </w:rPr>
              <w:t>05   07   11   12</w:t>
            </w:r>
          </w:p>
        </w:tc>
      </w:tr>
      <w:tr>
        <w:tc>
          <w:tcPr>
            <w:tcW w:type="dxa" w:w="9360"/>
            <w:gridSpan w:val="2"/>
            <w:shd w:val="clear" w:color="auto" w:fill="EDF8F6"/>
            <w:tcMar>
              <w:top w:w="165" w:type="dxa"/>
              <w:start w:w="240" w:type="dxa"/>
              <w:bottom w:w="190" w:type="dxa"/>
              <w:end w:w="240" w:type="dxa"/>
            </w:tcMar>
            <w:vAlign w:val="center"/>
            <w:tcBorders>
              <w:top w:val="nil" w:sz="8" w:space="0" w:color="187A7A"/>
              <w:bottom w:val="single" w:sz="8" w:space="0" w:color="187A7A"/>
              <w:left w:val="single" w:sz="8" w:space="0" w:color="187A7A"/>
              <w:right w:val="single" w:sz="8" w:space="0" w:color="187A7A"/>
            </w:tcBorders>
          </w:tcPr>
          <w:p>
            <w:pPr>
              <w:spacing w:after="60"/>
            </w:pPr>
            <w:r>
              <w:rPr>
                <w:rFonts w:ascii="Aptos" w:hAnsi="Aptos"/>
                <w:b/>
                <w:color w:val="187A7A"/>
                <w:sz w:val="15"/>
              </w:rPr>
              <w:t>VERIFIED CONTRIBUTION RECORD</w:t>
            </w:r>
          </w:p>
          <w:p>
            <w:pPr>
              <w:pStyle w:val="ListBullet"/>
              <w:spacing w:before="0" w:after="100" w:line="259" w:lineRule="auto"/>
              <w:ind w:left="317" w:hanging="202"/>
            </w:pPr>
            <w:r>
              <w:rPr>
                <w:rFonts w:ascii="Aptos" w:hAnsi="Aptos"/>
                <w:b w:val="0"/>
                <w:color w:val="243447"/>
                <w:sz w:val="17"/>
              </w:rPr>
              <w:t>No unique contribution is recorded in the reviewed Git history. The Ayra branch points to the shared baseline commit b564a3f and contains no commits unique to Ayra.</w:t>
            </w:r>
          </w:p>
        </w:tc>
      </w:tr>
    </w:tbl>
    <w:p>
      <w:pPr>
        <w:pStyle w:val="Heading1"/>
        <w:keepNext/>
      </w:pPr>
      <w:r>
        <w:t>Verification and acceptance record</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trPr>
        <w:tc>
          <w:tcPr>
            <w:tcW w:type="dxa" w:w="2800"/>
            <w:shd w:fill="0B2545"/>
            <w:tcMar>
              <w:top w:w="80" w:type="dxa"/>
              <w:start w:w="120" w:type="dxa"/>
              <w:bottom w:w="80" w:type="dxa"/>
              <w:end w:w="120" w:type="dxa"/>
            </w:tcMar>
          </w:tcPr>
          <w:p>
            <w:r>
              <w:rPr>
                <w:rFonts w:ascii="Calibri" w:hAnsi="Calibri"/>
                <w:b/>
                <w:i w:val="0"/>
                <w:color w:val="FFFFFF"/>
                <w:sz w:val="19"/>
              </w:rPr>
              <w:t>Gate</w:t>
            </w:r>
          </w:p>
        </w:tc>
        <w:tc>
          <w:tcPr>
            <w:tcW w:type="dxa" w:w="6560"/>
            <w:shd w:fill="0B2545"/>
            <w:tcMar>
              <w:top w:w="80" w:type="dxa"/>
              <w:start w:w="120" w:type="dxa"/>
              <w:bottom w:w="80" w:type="dxa"/>
              <w:end w:w="120" w:type="dxa"/>
            </w:tcMar>
          </w:tcPr>
          <w:p>
            <w:r>
              <w:rPr>
                <w:rFonts w:ascii="Calibri" w:hAnsi="Calibri"/>
                <w:b/>
                <w:i w:val="0"/>
                <w:color w:val="FFFFFF"/>
                <w:sz w:val="19"/>
              </w:rPr>
              <w:t>Recorded result</w:t>
            </w:r>
          </w:p>
        </w:tc>
      </w:tr>
      <w:tr>
        <w:trPr>
          <w:cantSplit/>
        </w:trPr>
        <w:tc>
          <w:tcPr>
            <w:tcW w:type="dxa" w:w="2800"/>
            <w:tcMar>
              <w:top w:w="80" w:type="dxa"/>
              <w:start w:w="120" w:type="dxa"/>
              <w:bottom w:w="80" w:type="dxa"/>
              <w:end w:w="120" w:type="dxa"/>
            </w:tcMar>
          </w:tcPr>
          <w:p>
            <w:r>
              <w:rPr>
                <w:rFonts w:ascii="Calibri" w:hAnsi="Calibri"/>
                <w:b/>
                <w:i w:val="0"/>
                <w:color w:val="000000"/>
                <w:sz w:val="18"/>
              </w:rPr>
              <w:t>Frontend tests</w:t>
            </w:r>
          </w:p>
        </w:tc>
        <w:tc>
          <w:tcPr>
            <w:tcW w:type="dxa" w:w="6560"/>
            <w:tcMar>
              <w:top w:w="80" w:type="dxa"/>
              <w:start w:w="120" w:type="dxa"/>
              <w:bottom w:w="80" w:type="dxa"/>
              <w:end w:w="120" w:type="dxa"/>
            </w:tcMar>
          </w:tcPr>
          <w:p>
            <w:r>
              <w:rPr>
                <w:rFonts w:ascii="Calibri" w:hAnsi="Calibri"/>
                <w:b w:val="0"/>
                <w:i w:val="0"/>
                <w:color w:val="000000"/>
                <w:sz w:val="18"/>
              </w:rPr>
              <w:t>43 passed across 10 files</w:t>
            </w:r>
          </w:p>
        </w:tc>
      </w:tr>
      <w:tr>
        <w:trPr>
          <w:cantSplit/>
        </w:trPr>
        <w:tc>
          <w:tcPr>
            <w:tcW w:type="dxa" w:w="2800"/>
            <w:shd w:fill="F2F4F7"/>
            <w:tcMar>
              <w:top w:w="80" w:type="dxa"/>
              <w:start w:w="120" w:type="dxa"/>
              <w:bottom w:w="80" w:type="dxa"/>
              <w:end w:w="120" w:type="dxa"/>
            </w:tcMar>
          </w:tcPr>
          <w:p>
            <w:r>
              <w:rPr>
                <w:rFonts w:ascii="Calibri" w:hAnsi="Calibri"/>
                <w:b/>
                <w:i w:val="0"/>
                <w:color w:val="000000"/>
                <w:sz w:val="18"/>
              </w:rPr>
              <w:t>Backend/API/persistence tests</w:t>
            </w:r>
          </w:p>
        </w:tc>
        <w:tc>
          <w:tcPr>
            <w:tcW w:type="dxa" w:w="6560"/>
            <w:shd w:fill="F2F4F7"/>
            <w:tcMar>
              <w:top w:w="80" w:type="dxa"/>
              <w:start w:w="120" w:type="dxa"/>
              <w:bottom w:w="80" w:type="dxa"/>
              <w:end w:w="120" w:type="dxa"/>
            </w:tcMar>
          </w:tcPr>
          <w:p>
            <w:r>
              <w:rPr>
                <w:rFonts w:ascii="Calibri" w:hAnsi="Calibri"/>
                <w:b w:val="0"/>
                <w:i w:val="0"/>
                <w:color w:val="000000"/>
                <w:sz w:val="18"/>
              </w:rPr>
              <w:t>60 passed</w:t>
            </w:r>
          </w:p>
        </w:tc>
      </w:tr>
      <w:tr>
        <w:trPr>
          <w:cantSplit/>
        </w:trPr>
        <w:tc>
          <w:tcPr>
            <w:tcW w:type="dxa" w:w="2800"/>
            <w:tcMar>
              <w:top w:w="80" w:type="dxa"/>
              <w:start w:w="120" w:type="dxa"/>
              <w:bottom w:w="80" w:type="dxa"/>
              <w:end w:w="120" w:type="dxa"/>
            </w:tcMar>
          </w:tcPr>
          <w:p>
            <w:r>
              <w:rPr>
                <w:rFonts w:ascii="Calibri" w:hAnsi="Calibri"/>
                <w:b/>
                <w:i w:val="0"/>
                <w:color w:val="000000"/>
                <w:sz w:val="18"/>
              </w:rPr>
              <w:t>TypeScript and lint</w:t>
            </w:r>
          </w:p>
        </w:tc>
        <w:tc>
          <w:tcPr>
            <w:tcW w:type="dxa" w:w="6560"/>
            <w:tcMar>
              <w:top w:w="80" w:type="dxa"/>
              <w:start w:w="120" w:type="dxa"/>
              <w:bottom w:w="80" w:type="dxa"/>
              <w:end w:w="120" w:type="dxa"/>
            </w:tcMar>
          </w:tcPr>
          <w:p>
            <w:r>
              <w:rPr>
                <w:rFonts w:ascii="Calibri" w:hAnsi="Calibri"/>
                <w:b w:val="0"/>
                <w:i w:val="0"/>
                <w:color w:val="000000"/>
                <w:sz w:val="18"/>
              </w:rPr>
              <w:t>Passed with tsc --noEmit</w:t>
            </w:r>
          </w:p>
        </w:tc>
      </w:tr>
      <w:tr>
        <w:trPr>
          <w:cantSplit/>
        </w:trPr>
        <w:tc>
          <w:tcPr>
            <w:tcW w:type="dxa" w:w="2800"/>
            <w:shd w:fill="F2F4F7"/>
            <w:tcMar>
              <w:top w:w="80" w:type="dxa"/>
              <w:start w:w="120" w:type="dxa"/>
              <w:bottom w:w="80" w:type="dxa"/>
              <w:end w:w="120" w:type="dxa"/>
            </w:tcMar>
          </w:tcPr>
          <w:p>
            <w:r>
              <w:rPr>
                <w:rFonts w:ascii="Calibri" w:hAnsi="Calibri"/>
                <w:b/>
                <w:i w:val="0"/>
                <w:color w:val="000000"/>
                <w:sz w:val="18"/>
              </w:rPr>
              <w:t>Production build</w:t>
            </w:r>
          </w:p>
        </w:tc>
        <w:tc>
          <w:tcPr>
            <w:tcW w:type="dxa" w:w="6560"/>
            <w:shd w:fill="F2F4F7"/>
            <w:tcMar>
              <w:top w:w="80" w:type="dxa"/>
              <w:start w:w="120" w:type="dxa"/>
              <w:bottom w:w="80" w:type="dxa"/>
              <w:end w:w="120" w:type="dxa"/>
            </w:tcMar>
          </w:tcPr>
          <w:p>
            <w:r>
              <w:rPr>
                <w:rFonts w:ascii="Calibri" w:hAnsi="Calibri"/>
                <w:b w:val="0"/>
                <w:i w:val="0"/>
                <w:color w:val="000000"/>
                <w:sz w:val="18"/>
              </w:rPr>
              <w:t>Passed; Vite transformed 62 modules</w:t>
            </w:r>
          </w:p>
        </w:tc>
      </w:tr>
      <w:tr>
        <w:trPr>
          <w:cantSplit/>
        </w:trPr>
        <w:tc>
          <w:tcPr>
            <w:tcW w:type="dxa" w:w="2800"/>
            <w:tcMar>
              <w:top w:w="80" w:type="dxa"/>
              <w:start w:w="120" w:type="dxa"/>
              <w:bottom w:w="80" w:type="dxa"/>
              <w:end w:w="120" w:type="dxa"/>
            </w:tcMar>
          </w:tcPr>
          <w:p>
            <w:r>
              <w:rPr>
                <w:rFonts w:ascii="Calibri" w:hAnsi="Calibri"/>
                <w:b/>
                <w:i w:val="0"/>
                <w:color w:val="000000"/>
                <w:sz w:val="18"/>
              </w:rPr>
              <w:t>OpenAPI drift</w:t>
            </w:r>
          </w:p>
        </w:tc>
        <w:tc>
          <w:tcPr>
            <w:tcW w:type="dxa" w:w="6560"/>
            <w:tcMar>
              <w:top w:w="80" w:type="dxa"/>
              <w:start w:w="120" w:type="dxa"/>
              <w:bottom w:w="80" w:type="dxa"/>
              <w:end w:w="120" w:type="dxa"/>
            </w:tcMar>
          </w:tcPr>
          <w:p>
            <w:r>
              <w:rPr>
                <w:rFonts w:ascii="Calibri" w:hAnsi="Calibri"/>
                <w:b w:val="0"/>
                <w:i w:val="0"/>
                <w:color w:val="000000"/>
                <w:sz w:val="18"/>
              </w:rPr>
              <w:t>Passed</w:t>
            </w:r>
          </w:p>
        </w:tc>
      </w:tr>
      <w:tr>
        <w:trPr>
          <w:cantSplit/>
        </w:trPr>
        <w:tc>
          <w:tcPr>
            <w:tcW w:type="dxa" w:w="2800"/>
            <w:shd w:fill="F2F4F7"/>
            <w:tcMar>
              <w:top w:w="80" w:type="dxa"/>
              <w:start w:w="120" w:type="dxa"/>
              <w:bottom w:w="80" w:type="dxa"/>
              <w:end w:w="120" w:type="dxa"/>
            </w:tcMar>
          </w:tcPr>
          <w:p>
            <w:r>
              <w:rPr>
                <w:rFonts w:ascii="Calibri" w:hAnsi="Calibri"/>
                <w:b/>
                <w:i w:val="0"/>
                <w:color w:val="000000"/>
                <w:sz w:val="18"/>
              </w:rPr>
              <w:t>Production-route mock audit</w:t>
            </w:r>
          </w:p>
        </w:tc>
        <w:tc>
          <w:tcPr>
            <w:tcW w:type="dxa" w:w="6560"/>
            <w:shd w:fill="F2F4F7"/>
            <w:tcMar>
              <w:top w:w="80" w:type="dxa"/>
              <w:start w:w="120" w:type="dxa"/>
              <w:bottom w:w="80" w:type="dxa"/>
              <w:end w:w="120" w:type="dxa"/>
            </w:tcMar>
          </w:tcPr>
          <w:p>
            <w:r>
              <w:rPr>
                <w:rFonts w:ascii="Calibri" w:hAnsi="Calibri"/>
                <w:b w:val="0"/>
                <w:i w:val="0"/>
                <w:color w:val="000000"/>
                <w:sz w:val="18"/>
              </w:rPr>
              <w:t>Passed; legacy fixture pages are unreachable from the production router</w:t>
            </w:r>
          </w:p>
        </w:tc>
      </w:tr>
      <w:tr>
        <w:trPr>
          <w:cantSplit/>
        </w:trPr>
        <w:tc>
          <w:tcPr>
            <w:tcW w:type="dxa" w:w="2800"/>
            <w:tcMar>
              <w:top w:w="80" w:type="dxa"/>
              <w:start w:w="120" w:type="dxa"/>
              <w:bottom w:w="80" w:type="dxa"/>
              <w:end w:w="120" w:type="dxa"/>
            </w:tcMar>
          </w:tcPr>
          <w:p>
            <w:r>
              <w:rPr>
                <w:rFonts w:ascii="Calibri" w:hAnsi="Calibri"/>
                <w:b/>
                <w:i w:val="0"/>
                <w:color w:val="000000"/>
                <w:sz w:val="18"/>
              </w:rPr>
              <w:t>Live acceptance path</w:t>
            </w:r>
          </w:p>
        </w:tc>
        <w:tc>
          <w:tcPr>
            <w:tcW w:type="dxa" w:w="6560"/>
            <w:tcMar>
              <w:top w:w="80" w:type="dxa"/>
              <w:start w:w="120" w:type="dxa"/>
              <w:bottom w:w="80" w:type="dxa"/>
              <w:end w:w="120" w:type="dxa"/>
            </w:tcMar>
          </w:tcPr>
          <w:p>
            <w:r>
              <w:rPr>
                <w:rFonts w:ascii="Calibri" w:hAnsi="Calibri"/>
                <w:b w:val="0"/>
                <w:i w:val="0"/>
                <w:color w:val="000000"/>
                <w:sz w:val="18"/>
              </w:rPr>
              <w:t>Authenticated HTTP simulator with normal, malformed, reconnect, and suspicious scenarios</w:t>
            </w:r>
          </w:p>
        </w:tc>
      </w:tr>
    </w:tbl>
    <w:p>
      <w:pPr>
        <w:pStyle w:val="Heading1"/>
        <w:keepNext/>
      </w:pPr>
      <w:r>
        <w:t>Closeout note</w:t>
      </w:r>
    </w:p>
    <w:p>
      <w:pPr>
        <w:spacing w:before="0" w:after="120" w:line="259" w:lineRule="auto"/>
      </w:pPr>
      <w:r>
        <w:rPr>
          <w:rFonts w:ascii="Aptos" w:hAnsi="Aptos"/>
          <w:b/>
          <w:color w:val="1F4D78"/>
          <w:sz w:val="19"/>
        </w:rPr>
        <w:t xml:space="preserve">Closeout statement. </w:t>
      </w:r>
      <w:r>
        <w:rPr>
          <w:rFonts w:ascii="Aptos" w:hAnsi="Aptos"/>
          <w:color w:val="243447"/>
          <w:sz w:val="19"/>
        </w:rPr>
        <w:t>This report serves as the consolidated project handoff record, bringing together roadmap reconciliation, validation results, acceptance materials, and a clear account of team ownership and delivered work. Future roadmap updates can use the evidence captured here to reconcile outstanding checklist entries while preserving the documented delivery history.</w:t>
      </w:r>
    </w:p>
    <w:p>
      <w:pPr>
        <w:pStyle w:val="Heading2"/>
        <w:keepNext/>
      </w:pPr>
      <w:r>
        <w:t>Sources reviewed</w:t>
      </w:r>
    </w:p>
    <w:p>
      <w:pPr>
        <w:pStyle w:val="ListBullet"/>
      </w:pPr>
      <w:r>
        <w:t>docs/roadmap.md</w:t>
      </w:r>
    </w:p>
    <w:p>
      <w:pPr>
        <w:pStyle w:val="ListBullet"/>
      </w:pPr>
      <w:r>
        <w:t>docs/frontend-checklist-completion.md</w:t>
      </w:r>
    </w:p>
    <w:p>
      <w:pPr>
        <w:pStyle w:val="ListBullet"/>
      </w:pPr>
      <w:r>
        <w:t>docs/phase3-live-demo.md</w:t>
      </w:r>
    </w:p>
    <w:p>
      <w:pPr>
        <w:pStyle w:val="ListBullet"/>
      </w:pPr>
      <w:r>
        <w:t>docs/Contributions.docx</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55555"/>
        <w:sz w:val="17"/>
      </w:rPr>
      <w:t>TRACEVEIL  |  PROJECT COMPLETION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Traceveil Completion Report</dc:title>
  <dc:subject>Roadmap completion and contribution attribution</dc:subject>
  <dc:creator>Traceveil Project Team</dc:creator>
  <cp:keywords>Traceveil, completion, roadmap, contributions</cp:keywords>
  <dc:description>generated by python-docx</dc:description>
  <cp:lastModifiedBy/>
  <cp:revision>1</cp:revision>
  <dcterms:created xsi:type="dcterms:W3CDTF">2013-12-23T23:15:00Z</dcterms:created>
  <dcterms:modified xsi:type="dcterms:W3CDTF">2013-12-23T23:15:00Z</dcterms:modified>
  <cp:category/>
</cp:coreProperties>
</file>