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color w:val="0B2545"/>
          <w:sz w:val="48"/>
        </w:rPr>
        <w:t>CONTRIBUTIONS</w:t>
      </w:r>
    </w:p>
    <w:p>
      <w:pPr>
        <w:spacing w:after="240"/>
      </w:pPr>
      <w:r>
        <w:rPr>
          <w:rFonts w:ascii="Calibri" w:hAnsi="Calibri"/>
          <w:color w:val="5B6573"/>
          <w:sz w:val="26"/>
        </w:rPr>
        <w:t>Traceveil project contribution record</w:t>
      </w:r>
    </w:p>
    <w:p>
      <w:pPr>
        <w:spacing w:after="60"/>
      </w:pPr>
      <w:r>
        <w:rPr>
          <w:rFonts w:ascii="Calibri" w:hAnsi="Calibri"/>
          <w:b/>
          <w:color w:val="1F4D78"/>
          <w:sz w:val="20"/>
        </w:rPr>
        <w:t xml:space="preserve">Repository: </w:t>
      </w:r>
      <w:r>
        <w:rPr>
          <w:rFonts w:ascii="Calibri" w:hAnsi="Calibri"/>
          <w:sz w:val="20"/>
        </w:rPr>
        <w:t>J3DI-19/TraceVeil</w:t>
      </w:r>
    </w:p>
    <w:p>
      <w:pPr>
        <w:spacing w:after="60"/>
      </w:pPr>
      <w:r>
        <w:t>History reviewed through: Working tree based on commit d66a0ac (15 August 2026)</w:t>
      </w:r>
    </w:p>
    <w:p>
      <w:pPr>
        <w:spacing w:before="200" w:after="160"/>
      </w:pPr>
      <w:r>
        <w:t>Record scope. This document summarizes project contributions recorded in the repository through commit d66a0ac and the subsequent Phase 1-3 integration work present in the working tree on 15 August 2026. Merge commits are not repeated as separate feature contributions.</w:t>
      </w:r>
    </w:p>
    <w:p>
      <w:pPr>
        <w:pStyle w:val="Heading1"/>
      </w:pPr>
      <w:r>
        <w:t>1. J3DI's Contributions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Project initiation and repository setup</w:t>
      </w:r>
      <w:r>
        <w:rPr>
          <w:rFonts w:ascii="Calibri" w:hAnsi="Calibri"/>
          <w:sz w:val="22"/>
        </w:rPr>
        <w:t xml:space="preserve"> — Created the initial repository content, established the Traceveil project description, and added the original synopsis materials.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Roadmap ownership</w:t>
      </w:r>
      <w:r>
        <w:rPr>
          <w:rFonts w:ascii="Calibri" w:hAnsi="Calibri"/>
          <w:sz w:val="22"/>
        </w:rPr>
        <w:t xml:space="preserve"> — Created and maintained the project roadmap, clarified implementation sequencing, and kept README status language aligned with actual delivery.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Step 1 application foundation</w:t>
      </w:r>
      <w:r>
        <w:rPr>
          <w:rFonts w:ascii="Calibri" w:hAnsi="Calibri"/>
          <w:sz w:val="22"/>
        </w:rPr>
        <w:t xml:space="preserve"> — Established the React/Vite frontend and FastAPI backend, environment configuration, dependency manifests, health endpoints, SQLite initialization, Ollama service setup, and baseline tests.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Traceveil identity and academic materials</w:t>
      </w:r>
      <w:r>
        <w:rPr>
          <w:rFonts w:ascii="Calibri" w:hAnsi="Calibri"/>
          <w:sz w:val="22"/>
        </w:rPr>
        <w:t xml:space="preserve"> — Updated the project from Sentinel to Traceveil and added the revised synopsis, PDF export, and Group 18 presentation materials.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Frontend application architecture</w:t>
      </w:r>
      <w:r>
        <w:rPr>
          <w:rFonts w:ascii="Calibri" w:hAnsi="Calibri"/>
          <w:sz w:val="22"/>
        </w:rPr>
        <w:t xml:space="preserve"> — Built the routing structure, application shell, navigation model, shared UI/domain components, and reusable page organization.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Investigation interface</w:t>
      </w:r>
      <w:r>
        <w:rPr>
          <w:rFonts w:ascii="Calibri" w:hAnsi="Calibri"/>
          <w:sz w:val="22"/>
        </w:rPr>
        <w:t xml:space="preserve"> — Implemented the overview command center, cases and case workspace, evidence import, system status, settings, live operations, and investigation-oriented layouts.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Assistant and reporting interfaces</w:t>
      </w:r>
      <w:r>
        <w:rPr>
          <w:rFonts w:ascii="Calibri" w:hAnsi="Calibri"/>
          <w:sz w:val="22"/>
        </w:rPr>
        <w:t xml:space="preserve"> — Built global and case-level assistant experiences, report preview flows, assistant mock data, and supporting interaction refinements.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Visual investigation components</w:t>
      </w:r>
      <w:r>
        <w:rPr>
          <w:rFonts w:ascii="Calibri" w:hAnsi="Calibri"/>
          <w:sz w:val="22"/>
        </w:rPr>
        <w:t xml:space="preserve"> — Added device graph panels, deterministic visualization renderers, timeline/graph presentation support, and visualization tests.</w:t>
      </w:r>
    </w:p>
    <w:p>
      <w:pPr>
        <w:pStyle w:val="ListBullet"/>
        <w:spacing w:after="80" w:line="300" w:lineRule="auto"/>
        <w:ind w:left="540" w:hanging="271"/>
      </w:pPr>
      <w:r>
        <w:t>Frontend contracts and adapter boundaries - Defined shared frontend domain types, centralized API behavior, generated OpenAPI DTOs, deterministic mock adapters, connected adapters, and explicit test/demo configuration without automatic mock fallback.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Responsive and accessibility refinements</w:t>
      </w:r>
      <w:r>
        <w:rPr>
          <w:rFonts w:ascii="Calibri" w:hAnsi="Calibri"/>
          <w:sz w:val="22"/>
        </w:rPr>
        <w:t xml:space="preserve"> — Improved responsive behavior, case workspace usability, navigation stability, and accessibility-focused interface details.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Sidebar and branding redesign</w:t>
      </w:r>
      <w:r>
        <w:rPr>
          <w:rFonts w:ascii="Calibri" w:hAnsi="Calibri"/>
          <w:sz w:val="22"/>
        </w:rPr>
        <w:t xml:space="preserve"> — Created the redesigned sidebar, Traceveil logo assets, navigation styling, and branded application-shell presentation.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Codebase cleanup and stabilization</w:t>
      </w:r>
      <w:r>
        <w:rPr>
          <w:rFonts w:ascii="Calibri" w:hAnsi="Calibri"/>
          <w:sz w:val="22"/>
        </w:rPr>
        <w:t xml:space="preserve"> — Removed obsolete components and generated package artifacts, simplified routes, corrected configuration, and stabilized navigation and frontend structure.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Liquid-glass header and shell styling</w:t>
      </w:r>
      <w:r>
        <w:rPr>
          <w:rFonts w:ascii="Calibri" w:hAnsi="Calibri"/>
          <w:sz w:val="22"/>
        </w:rPr>
        <w:t xml:space="preserve"> — Refined the header, transparency, shell styling, and visual hierarchy across the application.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Dataset-scope correction</w:t>
      </w:r>
      <w:r>
        <w:rPr>
          <w:rFonts w:ascii="Calibri" w:hAnsi="Calibri"/>
          <w:sz w:val="22"/>
        </w:rPr>
        <w:t xml:space="preserve"> — Updated the README, roadmap, and contracts so CASAS, TON_IoT smart-device telemetry, and simulation are the primary evaluation sources, with CICIoT2023 retained only as a compatibility path.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Pretesting and integration documentation</w:t>
      </w:r>
      <w:r>
        <w:rPr>
          <w:rFonts w:ascii="Calibri" w:hAnsi="Calibri"/>
          <w:sz w:val="22"/>
        </w:rPr>
        <w:t xml:space="preserve"> — Created the pretesting-issues document and the frontend integration checklist covering remaining work for Steps 3, 4, 5, and 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Branch integration and release coordination</w:t>
      </w:r>
      <w:r>
        <w:rPr>
          <w:rFonts w:ascii="Calibri" w:hAnsi="Calibri"/>
          <w:sz w:val="22"/>
        </w:rPr>
        <w:t xml:space="preserve"> — Managed merges, synchronized J3DI and main, and published the consolidated documentation and planning updates.</w:t>
      </w:r>
    </w:p>
    <w:p>
      <w:pPr>
        <w:pStyle w:val="ListBullet"/>
      </w:pPr>
      <w:r>
        <w:t>Phase 1 evidence-import foundation - Replaced the static import demonstration with an accessible CSV/JSON intake workflow, explicit mock capability labeling, 50 MiB client validation, keyboard and drag/drop selection, reducer-controlled states, cancellation/retry behavior, and focused component/unit coverage.</w:t>
      </w:r>
    </w:p>
    <w:p>
      <w:pPr>
        <w:pStyle w:val="ListBullet"/>
      </w:pPr>
      <w:r>
        <w:t>Phase 2 persisted batch investigation - Built the FastAPI/SQLite case, import, evidence, event, analysis, dashboard, pagination, filtering, duplicate, partial-approval, cancellation, immutable evidence, job recovery, and deterministic reanalysis APIs and connected the frontend journey end to end.</w:t>
      </w:r>
    </w:p>
    <w:p>
      <w:pPr>
        <w:pStyle w:val="ListBullet"/>
      </w:pPr>
      <w:r>
        <w:t>Primary dataset integration - Added canonical CASAS and TON_IoT telemetry profiles, fixtures, provenance documentation, normalization paths, source-aligned frontend choices, and secondary compatibility boundaries for TON_IoT network and CICIoT data.</w:t>
      </w:r>
    </w:p>
    <w:p>
      <w:pPr>
        <w:pStyle w:val="ListBullet"/>
      </w:pPr>
      <w:r>
        <w:t>OpenAPI and shared frontend integration - Added deterministic OpenAPI export and drift testing, generated TypeScript contracts, centralized fetch/error/query/request-ID behavior, transport-neutral data sources, shared investigation view models, and API-backed case, evidence, analysis, timeline, graph, analytics, and overview screens.</w:t>
      </w:r>
    </w:p>
    <w:p>
      <w:pPr>
        <w:pStyle w:val="ListBullet"/>
      </w:pPr>
      <w:r>
        <w:t>Phase 3 live operations and grounded assistance - Implemented authenticated HTTP telemetry, durable live sessions and receipts, bounded workers, SSE replay/reconnect/deduplication, device state, a controlled telemetry simulator, persisted assistant sessions, bounded retrieval, validated citations, safe visualization specifications, offline handling, and deterministic fallbacks.</w:t>
      </w:r>
    </w:p>
    <w:p>
      <w:pPr>
        <w:pStyle w:val="ListBullet"/>
      </w:pPr>
      <w:r>
        <w:t>Controlled reports, delivery, and audit - Implemented deterministic PDF reports, immutable versions and hashes, approval invalidation, approval-gated email drafts and SMTP sending, recipient allow-lists, delivery-unknown handling, and persisted audit history.</w:t>
      </w:r>
    </w:p>
    <w:p>
      <w:pPr>
        <w:pStyle w:val="ListBullet"/>
      </w:pPr>
      <w:r>
        <w:t>Frontend checklist completion and verification - Audited every checklist requirement, corrected stale mock claims, added rejection-reference and partial-result presentations, enforced the frontend forensic boundary, documented completion evidence, and passed 43 frontend tests, 60 backend tests, TypeScript/lint, production build, and OpenAPI drift gates.</w:t>
      </w:r>
    </w:p>
    <w:p>
      <w:pPr>
        <w:pStyle w:val="Heading1"/>
      </w:pPr>
      <w:r>
        <w:t>2. Aarya's Contributions</w:t>
      </w:r>
    </w:p>
    <w:p>
      <w:pPr>
        <w:keepNext/>
        <w:spacing w:after="100"/>
        <w:ind w:left="540"/>
      </w:pPr>
      <w:r>
        <w:rPr>
          <w:rFonts w:ascii="Calibri" w:hAnsi="Calibri"/>
          <w:b/>
          <w:color w:val="2E74B5"/>
          <w:sz w:val="18"/>
        </w:rPr>
        <w:t>Commit 66b43fe  |  6 August 2026</w:t>
      </w:r>
      <w:r>
        <w:rPr>
          <w:rFonts w:ascii="Calibri" w:hAnsi="Calibri"/>
          <w:i/>
          <w:color w:val="5B6573"/>
          <w:sz w:val="18"/>
        </w:rPr>
        <w:t xml:space="preserve">  |  Step 3 evidence validation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Evidence registration and validation service</w:t>
      </w:r>
      <w:r>
        <w:rPr>
          <w:rFonts w:ascii="Calibri" w:hAnsi="Calibri"/>
          <w:sz w:val="22"/>
        </w:rPr>
        <w:t xml:space="preserve"> — Implemented evidence schemas, profiles, hashing, validation rules, service orchestration, and supporting package structure.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Evidence persistence</w:t>
      </w:r>
      <w:r>
        <w:rPr>
          <w:rFonts w:ascii="Calibri" w:hAnsi="Calibri"/>
          <w:sz w:val="22"/>
        </w:rPr>
        <w:t xml:space="preserve"> — Added SQLite evidence tables and migration behavior for registration and validation results.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Dataset profiles and fixtures</w:t>
      </w:r>
      <w:r>
        <w:rPr>
          <w:rFonts w:ascii="Calibri" w:hAnsi="Calibri"/>
          <w:sz w:val="22"/>
        </w:rPr>
        <w:t xml:space="preserve"> — Added simulated, TON_IoT-network, and CICIoT2023-network validation profiles with contract fixtures.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Live telemetry input contract</w:t>
      </w:r>
      <w:r>
        <w:rPr>
          <w:rFonts w:ascii="Calibri" w:hAnsi="Calibri"/>
          <w:sz w:val="22"/>
        </w:rPr>
        <w:t xml:space="preserve"> — Defined and tested the shared validation contract for accepted live telemetry handoff.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Step 3 verification and documentation</w:t>
      </w:r>
      <w:r>
        <w:rPr>
          <w:rFonts w:ascii="Calibri" w:hAnsi="Calibri"/>
          <w:sz w:val="22"/>
        </w:rPr>
        <w:t xml:space="preserve"> — Added database migration, evidence validation, and telemetry contract tests plus the evidence-validation contract and roadmap updates.</w:t>
      </w:r>
    </w:p>
    <w:p>
      <w:pPr>
        <w:keepNext/>
        <w:spacing w:after="100"/>
        <w:ind w:left="540"/>
      </w:pPr>
      <w:r>
        <w:rPr>
          <w:rFonts w:ascii="Calibri" w:hAnsi="Calibri"/>
          <w:b/>
          <w:color w:val="2E74B5"/>
          <w:sz w:val="18"/>
        </w:rPr>
        <w:t>Commit 72ad28c  |  7 August 2026</w:t>
      </w:r>
      <w:r>
        <w:rPr>
          <w:rFonts w:ascii="Calibri" w:hAnsi="Calibri"/>
          <w:i/>
          <w:color w:val="5B6573"/>
          <w:sz w:val="18"/>
        </w:rPr>
        <w:t xml:space="preserve">  |  Step 4 canonical normalization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Canonical event model</w:t>
      </w:r>
      <w:r>
        <w:rPr>
          <w:rFonts w:ascii="Calibri" w:hAnsi="Calibri"/>
          <w:sz w:val="22"/>
        </w:rPr>
        <w:t xml:space="preserve"> — Implemented the versioned canonical schema, normalized identities/timestamps, provenance fields, and deterministic identifiers.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Normalization adapters</w:t>
      </w:r>
      <w:r>
        <w:rPr>
          <w:rFonts w:ascii="Calibri" w:hAnsi="Calibri"/>
          <w:sz w:val="22"/>
        </w:rPr>
        <w:t xml:space="preserve"> — Added simulation, generic, accepted-live, TON_IoT-network, and CICIoT2023-network mapping paths.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Normalization integrity</w:t>
      </w:r>
      <w:r>
        <w:rPr>
          <w:rFonts w:ascii="Calibri" w:hAnsi="Calibri"/>
          <w:sz w:val="22"/>
        </w:rPr>
        <w:t xml:space="preserve"> — Added collision/ambiguity handling, raw-record hashing, validated-batch verification, and helper functions for deterministic mappings.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Step 4 verification and documentation</w:t>
      </w:r>
      <w:r>
        <w:rPr>
          <w:rFonts w:ascii="Calibri" w:hAnsi="Calibri"/>
          <w:sz w:val="22"/>
        </w:rPr>
        <w:t xml:space="preserve"> — Added extensive normalization tests, the canonical-event contract, and related README, roadmap, and validation-contract updates.</w:t>
      </w:r>
    </w:p>
    <w:p>
      <w:pPr>
        <w:keepNext/>
        <w:spacing w:after="100"/>
        <w:ind w:left="540"/>
      </w:pPr>
      <w:r>
        <w:rPr>
          <w:rFonts w:ascii="Calibri" w:hAnsi="Calibri"/>
          <w:b/>
          <w:color w:val="2E74B5"/>
          <w:sz w:val="18"/>
        </w:rPr>
        <w:t>Commit b4d2337  |  11 August 2026</w:t>
      </w:r>
      <w:r>
        <w:rPr>
          <w:rFonts w:ascii="Calibri" w:hAnsi="Calibri"/>
          <w:i/>
          <w:color w:val="5B6573"/>
          <w:sz w:val="18"/>
        </w:rPr>
        <w:t xml:space="preserve">  |  Step 6 deterministic analytics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Deterministic analysis engine</w:t>
      </w:r>
      <w:r>
        <w:rPr>
          <w:rFonts w:ascii="Calibri" w:hAnsi="Calibri"/>
          <w:sz w:val="22"/>
        </w:rPr>
        <w:t xml:space="preserve"> — Implemented the analysis service, schemas, configuration, stable filters, sorting, and reproducible processing.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Detection and behavioral analysis</w:t>
      </w:r>
      <w:r>
        <w:rPr>
          <w:rFonts w:ascii="Calibri" w:hAnsi="Calibri"/>
          <w:sz w:val="22"/>
        </w:rPr>
        <w:t xml:space="preserve"> — Added deterministic rules, behavioral baselines, versioned detection settings, and bounded factorized risk scoring.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Correlation and incident construction</w:t>
      </w:r>
      <w:r>
        <w:rPr>
          <w:rFonts w:ascii="Calibri" w:hAnsi="Calibri"/>
          <w:sz w:val="22"/>
        </w:rPr>
        <w:t xml:space="preserve"> — Implemented event correlation, incident grouping, live-trigger alert creation, and traceable analytical outputs.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Investigation projections</w:t>
      </w:r>
      <w:r>
        <w:rPr>
          <w:rFonts w:ascii="Calibri" w:hAnsi="Calibri"/>
          <w:sz w:val="22"/>
        </w:rPr>
        <w:t xml:space="preserve"> — Added timelines, entity graphs, and aggregate/chart-ready analytical results.</w:t>
      </w:r>
    </w:p>
    <w:p>
      <w:pPr>
        <w:pStyle w:val="ListBullet2"/>
        <w:spacing w:after="80" w:line="300" w:lineRule="auto"/>
        <w:ind w:left="1008" w:hanging="271"/>
      </w:pPr>
      <w:r>
        <w:rPr>
          <w:rFonts w:ascii="Calibri" w:hAnsi="Calibri"/>
          <w:b/>
          <w:color w:val="0B2545"/>
          <w:sz w:val="22"/>
        </w:rPr>
        <w:t>Step 6 verification and documentation</w:t>
      </w:r>
      <w:r>
        <w:rPr>
          <w:rFonts w:ascii="Calibri" w:hAnsi="Calibri"/>
          <w:sz w:val="22"/>
        </w:rPr>
        <w:t xml:space="preserve"> — Added comprehensive analysis tests, dependency updates, the deterministic-analysis contract, and roadmap/status updates.</w:t>
      </w:r>
    </w:p>
    <w:p>
      <w:pPr>
        <w:pStyle w:val="Heading1"/>
      </w:pPr>
      <w:r>
        <w:t>3. Ayra's Contributions</w:t>
      </w:r>
    </w:p>
    <w:p>
      <w:pPr>
        <w:spacing w:after="80"/>
        <w:ind w:left="540"/>
      </w:pPr>
      <w:r>
        <w:rPr>
          <w:rFonts w:ascii="Calibri" w:hAnsi="Calibri"/>
          <w:b/>
          <w:color w:val="0B2545"/>
          <w:sz w:val="22"/>
        </w:rPr>
        <w:t>No unique contributions are currently recorded.</w:t>
      </w:r>
    </w:p>
    <w:p>
      <w:pPr>
        <w:spacing w:after="80"/>
        <w:ind w:left="540"/>
      </w:pPr>
      <w:r>
        <w:rPr>
          <w:rFonts w:ascii="Calibri" w:hAnsi="Calibri"/>
          <w:color w:val="5B6573"/>
          <w:sz w:val="22"/>
        </w:rPr>
        <w:t>The Ayra branch points to the shared baseline commit b564a3f and contains no commits unique to Ayra in the reviewed Git history.</w:t>
      </w:r>
    </w:p>
    <w:p>
      <w:pPr>
        <w:pStyle w:val="Heading1"/>
      </w:pPr>
      <w:r>
        <w:t>Contribution Overview</w:t>
      </w:r>
    </w:p>
    <w:p>
      <w:pPr>
        <w:pStyle w:val="ListBullet"/>
        <w:spacing w:after="80" w:line="300" w:lineRule="auto"/>
        <w:ind w:left="540" w:hanging="271"/>
      </w:pPr>
      <w:r>
        <w:t>J3DI: Established the project's core technical and frontend foundations, then completed the three-phase frontend integration: truthful evidence intake, persisted batch investigation, authenticated live operations, grounded assistance, approval-gated reporting and email delivery, and final checklist verification. Additional recorded work includes project and synopsis documentation, frontend architecture, visual and accessibility refinements, dataset-scope corrections, contract generation, operational documentation, and branch integration and release coordination.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Aarya</w:t>
      </w:r>
      <w:r>
        <w:rPr>
          <w:rFonts w:ascii="Calibri" w:hAnsi="Calibri"/>
          <w:sz w:val="22"/>
        </w:rPr>
        <w:t>: Authored the three unique implementation commits for Step 3 evidence validation, Step 4 canonical normalization, and Step 6 deterministic analytics.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2"/>
        </w:rPr>
        <w:t>Ayra</w:t>
      </w:r>
      <w:r>
        <w:rPr>
          <w:rFonts w:ascii="Calibri" w:hAnsi="Calibri"/>
          <w:sz w:val="22"/>
        </w:rPr>
        <w:t>: No unique commits are present on the Ayra branch in the reviewed repository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6"/>
      </w:rPr>
      <w:t xml:space="preserve">TRACEVEIL CONTRIBUTIONS   |   </w:t>
    </w:r>
    <w:fldChar w:fldCharType="begin"/>
    <w:instrText xml:space="preserve"> PAGE </w:instrText>
    <w:fldChar w:fldCharType="separate"/>
    <w:t>1</w: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2E74B5"/>
        <w:sz w:val="16"/>
      </w:rPr>
      <w:t>TRACEVEIL  /  PROJECT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08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Contributions</dc:title>
  <dc:subject>Universal Traceveil project contribution record</dc:subject>
  <dc:creator>Traceveil Project Team</dc:creator>
  <cp:keywords>Traceveil, contributions, attribution, J3DI, Aarya, Ayra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