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E2921" w14:textId="77777777" w:rsidR="00A506C4" w:rsidRDefault="00EC1EE6">
      <w:pPr>
        <w:spacing w:after="100"/>
        <w:jc w:val="center"/>
      </w:pPr>
      <w:r>
        <w:rPr>
          <w:noProof/>
        </w:rPr>
        <w:drawing>
          <wp:inline distT="0" distB="0" distL="0" distR="0" wp14:anchorId="1A6C2D7A" wp14:editId="43196102">
            <wp:extent cx="1463040" cy="1386150"/>
            <wp:effectExtent l="0" t="0" r="0" b="0"/>
            <wp:docPr id="1" name="Picture 1" descr="SVKM's NMIMS Deemed-to-be University emblem" title="NMIMS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463040" cy="1386150"/>
                    </a:xfrm>
                    <a:prstGeom prst="rect">
                      <a:avLst/>
                    </a:prstGeom>
                  </pic:spPr>
                </pic:pic>
              </a:graphicData>
            </a:graphic>
          </wp:inline>
        </w:drawing>
      </w:r>
    </w:p>
    <w:p w14:paraId="7B8CB672" w14:textId="77777777" w:rsidR="00A506C4" w:rsidRDefault="00EC1EE6">
      <w:pPr>
        <w:spacing w:after="140"/>
        <w:jc w:val="center"/>
      </w:pPr>
      <w:r>
        <w:rPr>
          <w:rFonts w:eastAsia="Times New Roman"/>
          <w:b/>
          <w:sz w:val="31"/>
        </w:rPr>
        <w:t>Mukesh Patel School of Technology Management &amp;</w:t>
      </w:r>
      <w:r>
        <w:rPr>
          <w:rFonts w:eastAsia="Times New Roman"/>
          <w:b/>
          <w:sz w:val="31"/>
        </w:rPr>
        <w:br/>
        <w:t>Engineering (Mumbai Campus)</w:t>
      </w:r>
    </w:p>
    <w:p w14:paraId="60401CFD" w14:textId="77777777" w:rsidR="00A506C4" w:rsidRDefault="00EC1EE6">
      <w:pPr>
        <w:spacing w:after="360"/>
        <w:jc w:val="center"/>
      </w:pPr>
      <w:r>
        <w:rPr>
          <w:rFonts w:eastAsia="Times New Roman"/>
          <w:sz w:val="26"/>
        </w:rPr>
        <w:t>IT DEPARTMENT</w:t>
      </w:r>
    </w:p>
    <w:p w14:paraId="16A4ED34" w14:textId="77777777" w:rsidR="00A506C4" w:rsidRDefault="00EC1EE6">
      <w:pPr>
        <w:spacing w:after="320"/>
        <w:jc w:val="center"/>
      </w:pPr>
      <w:r>
        <w:rPr>
          <w:rFonts w:eastAsia="Times New Roman"/>
          <w:b/>
          <w:sz w:val="34"/>
          <w:u w:val="single"/>
        </w:rPr>
        <w:t>Project Synopsis</w:t>
      </w:r>
    </w:p>
    <w:p w14:paraId="502CAED1" w14:textId="77777777" w:rsidR="00A506C4" w:rsidRDefault="00EC1EE6">
      <w:pPr>
        <w:spacing w:after="100"/>
        <w:jc w:val="center"/>
      </w:pPr>
      <w:r>
        <w:rPr>
          <w:rFonts w:eastAsia="Times New Roman"/>
          <w:b/>
          <w:sz w:val="25"/>
        </w:rPr>
        <w:t>Title of Project:</w:t>
      </w:r>
    </w:p>
    <w:p w14:paraId="5D3B7A57" w14:textId="77777777" w:rsidR="00A506C4" w:rsidRDefault="00EC1EE6">
      <w:pPr>
        <w:spacing w:after="760"/>
        <w:jc w:val="center"/>
      </w:pPr>
      <w:r>
        <w:rPr>
          <w:rFonts w:eastAsia="Times New Roman"/>
          <w:sz w:val="27"/>
        </w:rPr>
        <w:t>Sentinel: AI-Assisted Smart Home IoT Digital Forensics</w:t>
      </w:r>
      <w:r>
        <w:rPr>
          <w:rFonts w:eastAsia="Times New Roman"/>
          <w:sz w:val="27"/>
        </w:rPr>
        <w:br/>
        <w:t>and Incident Response Platform</w:t>
      </w:r>
    </w:p>
    <w:p w14:paraId="4DD14375" w14:textId="77777777" w:rsidR="00A506C4" w:rsidRDefault="00EC1EE6">
      <w:pPr>
        <w:spacing w:after="80"/>
        <w:jc w:val="center"/>
      </w:pPr>
      <w:r>
        <w:rPr>
          <w:rFonts w:eastAsia="Times New Roman"/>
          <w:b/>
          <w:sz w:val="25"/>
        </w:rPr>
        <w:t>Team Members:</w:t>
      </w:r>
    </w:p>
    <w:p w14:paraId="7015AFE6" w14:textId="77777777" w:rsidR="00A506C4" w:rsidRDefault="00EC1EE6">
      <w:pPr>
        <w:spacing w:after="360"/>
        <w:jc w:val="center"/>
      </w:pPr>
      <w:r>
        <w:rPr>
          <w:rFonts w:eastAsia="Times New Roman"/>
          <w:sz w:val="23"/>
        </w:rPr>
        <w:t>Atharva Rangnekar - K053  |  Aarya Rao - K054  |  Ayra Jha - K028</w:t>
      </w:r>
    </w:p>
    <w:p w14:paraId="0B0A06F0" w14:textId="77777777" w:rsidR="00A506C4" w:rsidRDefault="00EC1EE6">
      <w:pPr>
        <w:spacing w:after="80"/>
        <w:jc w:val="center"/>
      </w:pPr>
      <w:r>
        <w:rPr>
          <w:rFonts w:eastAsia="Times New Roman"/>
          <w:b/>
          <w:sz w:val="25"/>
        </w:rPr>
        <w:t>Under the supervision of</w:t>
      </w:r>
    </w:p>
    <w:p w14:paraId="1AB8ECBF" w14:textId="77777777" w:rsidR="00A506C4" w:rsidRDefault="00EC1EE6">
      <w:pPr>
        <w:jc w:val="center"/>
      </w:pPr>
      <w:r>
        <w:rPr>
          <w:rFonts w:eastAsia="Times New Roman"/>
          <w:sz w:val="23"/>
          <w:u w:val="single"/>
        </w:rPr>
        <w:t>Prof. Rohit Suryawanshi</w:t>
      </w:r>
    </w:p>
    <w:p w14:paraId="435F20C5" w14:textId="77777777" w:rsidR="00A506C4" w:rsidRDefault="00EC1EE6">
      <w:r>
        <w:br w:type="page"/>
      </w:r>
    </w:p>
    <w:p w14:paraId="3379070D" w14:textId="77777777" w:rsidR="00A506C4" w:rsidRDefault="00EC1EE6">
      <w:r>
        <w:rPr>
          <w:rFonts w:eastAsia="Times New Roman"/>
          <w:b/>
          <w:sz w:val="31"/>
        </w:rPr>
        <w:lastRenderedPageBreak/>
        <w:t>Table of Contents</w:t>
      </w:r>
    </w:p>
    <w:p w14:paraId="45103D43" w14:textId="77777777" w:rsidR="00A506C4" w:rsidRDefault="00EC1EE6">
      <w:pPr>
        <w:tabs>
          <w:tab w:val="right" w:leader="dot" w:pos="9144"/>
        </w:tabs>
        <w:spacing w:after="40"/>
      </w:pPr>
      <w:r>
        <w:rPr>
          <w:rFonts w:eastAsia="Times New Roman"/>
          <w:sz w:val="22"/>
        </w:rPr>
        <w:t>1. Title of the Project</w:t>
      </w:r>
      <w:r>
        <w:rPr>
          <w:rFonts w:eastAsia="Times New Roman"/>
          <w:sz w:val="22"/>
        </w:rPr>
        <w:tab/>
        <w:t>3</w:t>
      </w:r>
    </w:p>
    <w:p w14:paraId="1B0B0E61" w14:textId="77777777" w:rsidR="00A506C4" w:rsidRDefault="00EC1EE6">
      <w:pPr>
        <w:tabs>
          <w:tab w:val="right" w:leader="dot" w:pos="9144"/>
        </w:tabs>
        <w:spacing w:after="40"/>
      </w:pPr>
      <w:r>
        <w:rPr>
          <w:rFonts w:eastAsia="Times New Roman"/>
          <w:sz w:val="22"/>
        </w:rPr>
        <w:t>2. Team Members</w:t>
      </w:r>
      <w:r>
        <w:rPr>
          <w:rFonts w:eastAsia="Times New Roman"/>
          <w:sz w:val="22"/>
        </w:rPr>
        <w:tab/>
        <w:t>3</w:t>
      </w:r>
    </w:p>
    <w:p w14:paraId="12336D51" w14:textId="77777777" w:rsidR="00A506C4" w:rsidRDefault="00EC1EE6">
      <w:pPr>
        <w:tabs>
          <w:tab w:val="right" w:leader="dot" w:pos="9144"/>
        </w:tabs>
        <w:spacing w:after="40"/>
      </w:pPr>
      <w:r>
        <w:rPr>
          <w:rFonts w:eastAsia="Times New Roman"/>
          <w:sz w:val="22"/>
        </w:rPr>
        <w:t>3. Introduction</w:t>
      </w:r>
      <w:r>
        <w:rPr>
          <w:rFonts w:eastAsia="Times New Roman"/>
          <w:sz w:val="22"/>
        </w:rPr>
        <w:tab/>
        <w:t>3</w:t>
      </w:r>
    </w:p>
    <w:p w14:paraId="59F57A3E" w14:textId="77777777" w:rsidR="00A506C4" w:rsidRDefault="00EC1EE6">
      <w:pPr>
        <w:tabs>
          <w:tab w:val="right" w:leader="dot" w:pos="9144"/>
        </w:tabs>
        <w:spacing w:after="40"/>
      </w:pPr>
      <w:r>
        <w:rPr>
          <w:rFonts w:eastAsia="Times New Roman"/>
          <w:sz w:val="22"/>
        </w:rPr>
        <w:t>4. Literature Survey</w:t>
      </w:r>
      <w:r>
        <w:rPr>
          <w:rFonts w:eastAsia="Times New Roman"/>
          <w:sz w:val="22"/>
        </w:rPr>
        <w:tab/>
        <w:t>3</w:t>
      </w:r>
    </w:p>
    <w:p w14:paraId="395F70BE" w14:textId="77777777" w:rsidR="00A506C4" w:rsidRDefault="00EC1EE6">
      <w:pPr>
        <w:tabs>
          <w:tab w:val="right" w:leader="dot" w:pos="9144"/>
        </w:tabs>
        <w:spacing w:after="40"/>
        <w:ind w:left="317"/>
      </w:pPr>
      <w:r>
        <w:rPr>
          <w:rFonts w:eastAsia="Times New Roman"/>
          <w:sz w:val="22"/>
        </w:rPr>
        <w:t>4.1. IoT DFIR and Public Datasets</w:t>
      </w:r>
      <w:r>
        <w:rPr>
          <w:rFonts w:eastAsia="Times New Roman"/>
          <w:sz w:val="22"/>
        </w:rPr>
        <w:tab/>
        <w:t>3</w:t>
      </w:r>
    </w:p>
    <w:p w14:paraId="1D750929" w14:textId="77777777" w:rsidR="00A506C4" w:rsidRDefault="00EC1EE6">
      <w:pPr>
        <w:tabs>
          <w:tab w:val="right" w:leader="dot" w:pos="9144"/>
        </w:tabs>
        <w:spacing w:after="40"/>
        <w:ind w:left="317"/>
      </w:pPr>
      <w:r>
        <w:rPr>
          <w:rFonts w:eastAsia="Times New Roman"/>
          <w:sz w:val="22"/>
        </w:rPr>
        <w:t>4.2. Enterprise Platform Comparison</w:t>
      </w:r>
      <w:r>
        <w:rPr>
          <w:rFonts w:eastAsia="Times New Roman"/>
          <w:sz w:val="22"/>
        </w:rPr>
        <w:tab/>
        <w:t>4</w:t>
      </w:r>
    </w:p>
    <w:p w14:paraId="2DED1F18" w14:textId="77777777" w:rsidR="00A506C4" w:rsidRDefault="00EC1EE6">
      <w:pPr>
        <w:tabs>
          <w:tab w:val="right" w:leader="dot" w:pos="9144"/>
        </w:tabs>
        <w:spacing w:after="40"/>
        <w:ind w:left="317"/>
      </w:pPr>
      <w:r>
        <w:rPr>
          <w:rFonts w:eastAsia="Times New Roman"/>
          <w:sz w:val="22"/>
        </w:rPr>
        <w:t>4.3. Research Gap</w:t>
      </w:r>
      <w:r>
        <w:rPr>
          <w:rFonts w:eastAsia="Times New Roman"/>
          <w:sz w:val="22"/>
        </w:rPr>
        <w:tab/>
        <w:t>4</w:t>
      </w:r>
    </w:p>
    <w:p w14:paraId="7CCEB435" w14:textId="77777777" w:rsidR="00A506C4" w:rsidRDefault="00EC1EE6">
      <w:pPr>
        <w:tabs>
          <w:tab w:val="right" w:leader="dot" w:pos="9144"/>
        </w:tabs>
        <w:spacing w:after="40"/>
      </w:pPr>
      <w:r>
        <w:rPr>
          <w:rFonts w:eastAsia="Times New Roman"/>
          <w:sz w:val="22"/>
        </w:rPr>
        <w:t>5. Why is this particular topic chosen?</w:t>
      </w:r>
      <w:r>
        <w:rPr>
          <w:rFonts w:eastAsia="Times New Roman"/>
          <w:sz w:val="22"/>
        </w:rPr>
        <w:tab/>
        <w:t>4</w:t>
      </w:r>
    </w:p>
    <w:p w14:paraId="20E442F3" w14:textId="77777777" w:rsidR="00A506C4" w:rsidRDefault="00EC1EE6">
      <w:pPr>
        <w:tabs>
          <w:tab w:val="right" w:leader="dot" w:pos="9144"/>
        </w:tabs>
        <w:spacing w:after="40"/>
      </w:pPr>
      <w:r>
        <w:rPr>
          <w:rFonts w:eastAsia="Times New Roman"/>
          <w:sz w:val="22"/>
        </w:rPr>
        <w:t>6. Objective and Scope of the project</w:t>
      </w:r>
      <w:r>
        <w:rPr>
          <w:rFonts w:eastAsia="Times New Roman"/>
          <w:sz w:val="22"/>
        </w:rPr>
        <w:tab/>
        <w:t>4</w:t>
      </w:r>
    </w:p>
    <w:p w14:paraId="6FE93B1E" w14:textId="77777777" w:rsidR="00A506C4" w:rsidRDefault="00EC1EE6">
      <w:pPr>
        <w:tabs>
          <w:tab w:val="right" w:leader="dot" w:pos="9144"/>
        </w:tabs>
        <w:spacing w:after="40"/>
        <w:ind w:left="317"/>
      </w:pPr>
      <w:r>
        <w:rPr>
          <w:rFonts w:eastAsia="Times New Roman"/>
          <w:sz w:val="22"/>
        </w:rPr>
        <w:t>6.1. Objectives and Scope</w:t>
      </w:r>
      <w:r>
        <w:rPr>
          <w:rFonts w:eastAsia="Times New Roman"/>
          <w:sz w:val="22"/>
        </w:rPr>
        <w:tab/>
        <w:t>4</w:t>
      </w:r>
    </w:p>
    <w:p w14:paraId="618DDBBE" w14:textId="77777777" w:rsidR="00A506C4" w:rsidRDefault="00EC1EE6">
      <w:pPr>
        <w:tabs>
          <w:tab w:val="right" w:leader="dot" w:pos="9144"/>
        </w:tabs>
        <w:spacing w:after="40"/>
        <w:ind w:left="317"/>
      </w:pPr>
      <w:r>
        <w:rPr>
          <w:rFonts w:eastAsia="Times New Roman"/>
          <w:sz w:val="22"/>
        </w:rPr>
        <w:t>6.2. Architecture and Workflow</w:t>
      </w:r>
      <w:r>
        <w:rPr>
          <w:rFonts w:eastAsia="Times New Roman"/>
          <w:sz w:val="22"/>
        </w:rPr>
        <w:tab/>
        <w:t>5</w:t>
      </w:r>
    </w:p>
    <w:p w14:paraId="1A33ECF4" w14:textId="77777777" w:rsidR="00A506C4" w:rsidRDefault="00EC1EE6">
      <w:pPr>
        <w:tabs>
          <w:tab w:val="right" w:leader="dot" w:pos="9144"/>
        </w:tabs>
        <w:spacing w:after="40"/>
        <w:ind w:left="317"/>
      </w:pPr>
      <w:r>
        <w:rPr>
          <w:rFonts w:eastAsia="Times New Roman"/>
          <w:sz w:val="22"/>
        </w:rPr>
        <w:t>6.3. Module Descriptions</w:t>
      </w:r>
      <w:r>
        <w:rPr>
          <w:rFonts w:eastAsia="Times New Roman"/>
          <w:sz w:val="22"/>
        </w:rPr>
        <w:tab/>
        <w:t>5</w:t>
      </w:r>
    </w:p>
    <w:p w14:paraId="551619D1" w14:textId="77777777" w:rsidR="00A506C4" w:rsidRDefault="00EC1EE6">
      <w:pPr>
        <w:tabs>
          <w:tab w:val="right" w:leader="dot" w:pos="9144"/>
        </w:tabs>
        <w:spacing w:after="40"/>
        <w:ind w:left="317"/>
      </w:pPr>
      <w:r>
        <w:rPr>
          <w:rFonts w:eastAsia="Times New Roman"/>
          <w:sz w:val="22"/>
        </w:rPr>
        <w:t>6.4. Visualization Engine</w:t>
      </w:r>
      <w:r>
        <w:rPr>
          <w:rFonts w:eastAsia="Times New Roman"/>
          <w:sz w:val="22"/>
        </w:rPr>
        <w:tab/>
        <w:t>6</w:t>
      </w:r>
    </w:p>
    <w:p w14:paraId="4BE94436" w14:textId="77777777" w:rsidR="00A506C4" w:rsidRDefault="00EC1EE6">
      <w:pPr>
        <w:tabs>
          <w:tab w:val="right" w:leader="dot" w:pos="9144"/>
        </w:tabs>
        <w:spacing w:after="40"/>
        <w:ind w:left="317"/>
      </w:pPr>
      <w:r>
        <w:rPr>
          <w:rFonts w:eastAsia="Times New Roman"/>
          <w:sz w:val="22"/>
        </w:rPr>
        <w:t>6.5. AI Investigation Assistant</w:t>
      </w:r>
      <w:r>
        <w:rPr>
          <w:rFonts w:eastAsia="Times New Roman"/>
          <w:sz w:val="22"/>
        </w:rPr>
        <w:tab/>
        <w:t>6</w:t>
      </w:r>
    </w:p>
    <w:p w14:paraId="4EEAAAED" w14:textId="77777777" w:rsidR="00A506C4" w:rsidRDefault="00EC1EE6">
      <w:pPr>
        <w:tabs>
          <w:tab w:val="right" w:leader="dot" w:pos="9144"/>
        </w:tabs>
        <w:spacing w:after="40"/>
        <w:ind w:left="317"/>
      </w:pPr>
      <w:r>
        <w:rPr>
          <w:rFonts w:eastAsia="Times New Roman"/>
          <w:sz w:val="22"/>
        </w:rPr>
        <w:t>6.6. Testing and Evaluation</w:t>
      </w:r>
      <w:r>
        <w:rPr>
          <w:rFonts w:eastAsia="Times New Roman"/>
          <w:sz w:val="22"/>
        </w:rPr>
        <w:tab/>
        <w:t>6</w:t>
      </w:r>
    </w:p>
    <w:p w14:paraId="1BAC21BD" w14:textId="77777777" w:rsidR="00A506C4" w:rsidRDefault="00EC1EE6">
      <w:pPr>
        <w:tabs>
          <w:tab w:val="right" w:leader="dot" w:pos="9144"/>
        </w:tabs>
        <w:spacing w:after="40"/>
        <w:ind w:left="317"/>
      </w:pPr>
      <w:r>
        <w:rPr>
          <w:rFonts w:eastAsia="Times New Roman"/>
          <w:sz w:val="22"/>
        </w:rPr>
        <w:t>6.7. Future Scope and Conclusion</w:t>
      </w:r>
      <w:r>
        <w:rPr>
          <w:rFonts w:eastAsia="Times New Roman"/>
          <w:sz w:val="22"/>
        </w:rPr>
        <w:tab/>
        <w:t>6</w:t>
      </w:r>
    </w:p>
    <w:p w14:paraId="359708C2" w14:textId="77777777" w:rsidR="00A506C4" w:rsidRDefault="00EC1EE6">
      <w:pPr>
        <w:tabs>
          <w:tab w:val="right" w:leader="dot" w:pos="9144"/>
        </w:tabs>
        <w:spacing w:after="40"/>
      </w:pPr>
      <w:r>
        <w:rPr>
          <w:rFonts w:eastAsia="Times New Roman"/>
          <w:sz w:val="22"/>
        </w:rPr>
        <w:t>7. Hardware and Software Requirements</w:t>
      </w:r>
      <w:r>
        <w:rPr>
          <w:rFonts w:eastAsia="Times New Roman"/>
          <w:sz w:val="22"/>
        </w:rPr>
        <w:tab/>
        <w:t>7</w:t>
      </w:r>
    </w:p>
    <w:p w14:paraId="7E37BDAF" w14:textId="77777777" w:rsidR="00A506C4" w:rsidRDefault="00EC1EE6">
      <w:pPr>
        <w:tabs>
          <w:tab w:val="right" w:leader="dot" w:pos="9144"/>
        </w:tabs>
        <w:spacing w:after="40"/>
      </w:pPr>
      <w:r>
        <w:rPr>
          <w:rFonts w:eastAsia="Times New Roman"/>
          <w:sz w:val="22"/>
        </w:rPr>
        <w:t>8. Final Deliverables</w:t>
      </w:r>
      <w:r>
        <w:rPr>
          <w:rFonts w:eastAsia="Times New Roman"/>
          <w:sz w:val="22"/>
        </w:rPr>
        <w:tab/>
        <w:t>8</w:t>
      </w:r>
    </w:p>
    <w:p w14:paraId="3B74E028" w14:textId="77777777" w:rsidR="00A506C4" w:rsidRDefault="00EC1EE6">
      <w:pPr>
        <w:tabs>
          <w:tab w:val="right" w:leader="dot" w:pos="9144"/>
        </w:tabs>
        <w:spacing w:after="40"/>
      </w:pPr>
      <w:r>
        <w:rPr>
          <w:rFonts w:eastAsia="Times New Roman"/>
          <w:sz w:val="22"/>
        </w:rPr>
        <w:t>9. References</w:t>
      </w:r>
      <w:r>
        <w:rPr>
          <w:rFonts w:eastAsia="Times New Roman"/>
          <w:sz w:val="22"/>
        </w:rPr>
        <w:tab/>
        <w:t>9</w:t>
      </w:r>
    </w:p>
    <w:p w14:paraId="0DC8227F" w14:textId="77777777" w:rsidR="00A506C4" w:rsidRDefault="00EC1EE6">
      <w:r>
        <w:br w:type="page"/>
      </w:r>
    </w:p>
    <w:p w14:paraId="51E00BF2" w14:textId="77777777" w:rsidR="00A506C4" w:rsidRDefault="00EC1EE6">
      <w:pPr>
        <w:keepNext/>
        <w:spacing w:before="120" w:after="60"/>
      </w:pPr>
      <w:r>
        <w:rPr>
          <w:rFonts w:eastAsia="Times New Roman"/>
          <w:b/>
          <w:sz w:val="26"/>
        </w:rPr>
        <w:t>1. Title of the Project</w:t>
      </w:r>
    </w:p>
    <w:p w14:paraId="1B372A65" w14:textId="77777777" w:rsidR="00A506C4" w:rsidRDefault="00EC1EE6">
      <w:pPr>
        <w:spacing w:after="100" w:line="269" w:lineRule="auto"/>
        <w:jc w:val="both"/>
      </w:pPr>
      <w:r>
        <w:rPr>
          <w:rFonts w:eastAsia="Times New Roman"/>
          <w:sz w:val="22"/>
        </w:rPr>
        <w:t>Sentinel: AI-Assisted Smart Home IoT Digital Forensics and Incident Response Platform</w:t>
      </w:r>
    </w:p>
    <w:p w14:paraId="2E621240" w14:textId="77777777" w:rsidR="00A506C4" w:rsidRDefault="00EC1EE6">
      <w:pPr>
        <w:keepNext/>
        <w:spacing w:before="120" w:after="60"/>
      </w:pPr>
      <w:r>
        <w:rPr>
          <w:rFonts w:eastAsia="Times New Roman"/>
          <w:b/>
          <w:sz w:val="26"/>
        </w:rPr>
        <w:t>2. Team Members</w:t>
      </w:r>
    </w:p>
    <w:p w14:paraId="0362E584" w14:textId="77777777" w:rsidR="00A506C4" w:rsidRDefault="00EC1EE6">
      <w:pPr>
        <w:pStyle w:val="ListNumber"/>
        <w:spacing w:after="20"/>
        <w:ind w:left="461" w:hanging="288"/>
      </w:pPr>
      <w:r>
        <w:rPr>
          <w:rFonts w:eastAsia="Times New Roman"/>
          <w:sz w:val="22"/>
        </w:rPr>
        <w:t xml:space="preserve"> Atharva Rangnekar (K053)</w:t>
      </w:r>
    </w:p>
    <w:p w14:paraId="040B9847" w14:textId="77777777" w:rsidR="00A506C4" w:rsidRDefault="00EC1EE6">
      <w:pPr>
        <w:pStyle w:val="ListNumber"/>
        <w:spacing w:after="20"/>
        <w:ind w:left="461" w:hanging="288"/>
      </w:pPr>
      <w:r>
        <w:rPr>
          <w:rFonts w:eastAsia="Times New Roman"/>
          <w:sz w:val="22"/>
        </w:rPr>
        <w:t xml:space="preserve"> Aarya Rao (K054)</w:t>
      </w:r>
    </w:p>
    <w:p w14:paraId="4BDD8C6C" w14:textId="77777777" w:rsidR="00A506C4" w:rsidRDefault="00EC1EE6">
      <w:pPr>
        <w:pStyle w:val="ListNumber"/>
        <w:spacing w:after="20"/>
        <w:ind w:left="461" w:hanging="288"/>
      </w:pPr>
      <w:r>
        <w:rPr>
          <w:rFonts w:eastAsia="Times New Roman"/>
          <w:sz w:val="22"/>
        </w:rPr>
        <w:t xml:space="preserve"> Ayra Jha (K028)</w:t>
      </w:r>
    </w:p>
    <w:p w14:paraId="0D60E0A8" w14:textId="77777777" w:rsidR="00A506C4" w:rsidRDefault="00EC1EE6">
      <w:pPr>
        <w:spacing w:after="80"/>
      </w:pPr>
      <w:r>
        <w:rPr>
          <w:rFonts w:eastAsia="Times New Roman"/>
          <w:b/>
          <w:sz w:val="21"/>
        </w:rPr>
        <w:t>Project Guide: Prof. Rohit Suryawanshi</w:t>
      </w:r>
    </w:p>
    <w:p w14:paraId="58974334" w14:textId="77777777" w:rsidR="00A506C4" w:rsidRDefault="00EC1EE6">
      <w:pPr>
        <w:keepNext/>
        <w:spacing w:before="120" w:after="60"/>
      </w:pPr>
      <w:r>
        <w:rPr>
          <w:rFonts w:eastAsia="Times New Roman"/>
          <w:b/>
          <w:sz w:val="26"/>
        </w:rPr>
        <w:t>3. Introduction</w:t>
      </w:r>
    </w:p>
    <w:p w14:paraId="3DFA083E" w14:textId="77777777" w:rsidR="00A506C4" w:rsidRDefault="00EC1EE6">
      <w:pPr>
        <w:spacing w:after="100" w:line="269" w:lineRule="auto"/>
        <w:ind w:firstLine="317"/>
        <w:jc w:val="both"/>
      </w:pPr>
      <w:r>
        <w:rPr>
          <w:rFonts w:eastAsia="Times New Roman"/>
          <w:sz w:val="22"/>
        </w:rPr>
        <w:t>Smart homes combine cameras, door sensors, voice assistants, smart plugs, thermostats and gateways that produce network records, telemetry, authentication traces and state changes. During an incident, relevant evidence is distributed across devices and expressed through different schemas, clocks and identifiers. A single alert rarely provides a defensible account; the investigator must normalize records, relate devices and reconstruct a chronology.</w:t>
      </w:r>
    </w:p>
    <w:p w14:paraId="3C1B1102" w14:textId="77777777" w:rsidR="00A506C4" w:rsidRDefault="00EC1EE6">
      <w:pPr>
        <w:spacing w:after="100" w:line="269" w:lineRule="auto"/>
        <w:ind w:firstLine="317"/>
        <w:jc w:val="both"/>
      </w:pPr>
      <w:r>
        <w:rPr>
          <w:rFonts w:eastAsia="Times New Roman"/>
          <w:sz w:val="22"/>
        </w:rPr>
        <w:t>Sentinel is an industry-oriented academic prototype for this problem. It accepts public IoT datasets and simulated smart-home incidents, normalizes heterogeneous logs, detects suspicious activity using rules and behavioural baselines, assigns explainable risk scores, correlates events, reconstructs timelines and presents findings in a web dashboard. It does not replace an enterprise SIEM, an IoT security platform or a certified forensic suite.</w:t>
      </w:r>
    </w:p>
    <w:p w14:paraId="75685570" w14:textId="77777777" w:rsidR="00A506C4" w:rsidRDefault="00EC1EE6">
      <w:pPr>
        <w:keepNext/>
        <w:spacing w:before="80" w:after="60"/>
      </w:pPr>
      <w:r>
        <w:rPr>
          <w:rFonts w:eastAsia="Times New Roman"/>
          <w:b/>
          <w:sz w:val="23"/>
        </w:rPr>
        <w:t>3.1. Problem Statement</w:t>
      </w:r>
    </w:p>
    <w:p w14:paraId="3EA2901D" w14:textId="77777777" w:rsidR="00A506C4" w:rsidRDefault="00EC1EE6">
      <w:pPr>
        <w:spacing w:after="100" w:line="269" w:lineRule="auto"/>
        <w:ind w:firstLine="317"/>
        <w:jc w:val="both"/>
      </w:pPr>
      <w:r>
        <w:rPr>
          <w:rFonts w:eastAsia="Times New Roman"/>
          <w:sz w:val="22"/>
        </w:rPr>
        <w:t>Public IoT datasets are useful for repeatable experiments, but their fields and labels differ and they do not directly provide a case-oriented forensic view. A compact system is required that retains evidence provenance while producing deterministic filtering, sorting, scoring, correlation, timeline and graph outputs. Generative AI creates a second risk: if it calculates or invents values, the investigation becomes irreproducible. Sentinel therefore confines the local language model to evidence-grounded nar</w:t>
      </w:r>
      <w:r>
        <w:rPr>
          <w:rFonts w:eastAsia="Times New Roman"/>
          <w:sz w:val="22"/>
        </w:rPr>
        <w:t>ration and validated layout planning; Python remains the only computational authority.</w:t>
      </w:r>
    </w:p>
    <w:p w14:paraId="7D7F8E0F" w14:textId="77777777" w:rsidR="00A506C4" w:rsidRDefault="00EC1EE6">
      <w:pPr>
        <w:keepNext/>
        <w:spacing w:before="120" w:after="60"/>
      </w:pPr>
      <w:r>
        <w:rPr>
          <w:rFonts w:eastAsia="Times New Roman"/>
          <w:b/>
          <w:sz w:val="26"/>
        </w:rPr>
        <w:t>4. Literature Survey</w:t>
      </w:r>
    </w:p>
    <w:p w14:paraId="2179DA60" w14:textId="77777777" w:rsidR="00A506C4" w:rsidRDefault="00EC1EE6">
      <w:pPr>
        <w:keepNext/>
        <w:spacing w:before="80" w:after="60"/>
      </w:pPr>
      <w:r>
        <w:rPr>
          <w:rFonts w:eastAsia="Times New Roman"/>
          <w:b/>
          <w:sz w:val="23"/>
        </w:rPr>
        <w:t>4.1. IoT DFIR and Public Datasets</w:t>
      </w:r>
    </w:p>
    <w:p w14:paraId="5ABB5157" w14:textId="77777777" w:rsidR="00A506C4" w:rsidRDefault="00EC1EE6">
      <w:pPr>
        <w:spacing w:after="100" w:line="269" w:lineRule="auto"/>
        <w:ind w:firstLine="317"/>
        <w:jc w:val="both"/>
      </w:pPr>
      <w:r>
        <w:rPr>
          <w:rFonts w:eastAsia="Times New Roman"/>
          <w:sz w:val="22"/>
        </w:rPr>
        <w:t>NIST describes digital forensics as a capability that supports incident response through collection, examination, analysis and reporting [1]. In IoT environments, heterogeneity, limited storage, volatile evidence and clock inconsistency make these activities difficult [4]. A sound prototype must preserve the raw-record link, distinguish observed time from import time, document normalization decisions and avoid treating correlation as proof of causation.</w:t>
      </w:r>
    </w:p>
    <w:p w14:paraId="5F2C66D9" w14:textId="77777777" w:rsidR="00A506C4" w:rsidRDefault="00EC1EE6">
      <w:pPr>
        <w:spacing w:after="100" w:line="269" w:lineRule="auto"/>
        <w:ind w:firstLine="317"/>
        <w:jc w:val="both"/>
      </w:pPr>
      <w:r>
        <w:rPr>
          <w:rFonts w:eastAsia="Times New Roman"/>
          <w:sz w:val="22"/>
        </w:rPr>
        <w:t>TON_IoT contains heterogeneous IoT/IIoT telemetry, operating-system traces and network traffic captured in a cyber-range environment [2]. CICIoT2023 provides a large IoT attack benchmark with benign and malicious traffic from numerous devices and attack scenarios [3]. Sentinel uses these datasets to test adapters, rules and performance, and uses small simulated cases for exact correlation and timeline tests. These sources support academic evaluation but do not establish production readiness or legal admissi</w:t>
      </w:r>
      <w:r>
        <w:rPr>
          <w:rFonts w:eastAsia="Times New Roman"/>
          <w:sz w:val="22"/>
        </w:rPr>
        <w:t>bility.</w:t>
      </w:r>
    </w:p>
    <w:p w14:paraId="4572706B" w14:textId="77777777" w:rsidR="00A506C4" w:rsidRDefault="00EC1EE6">
      <w:pPr>
        <w:spacing w:after="100" w:line="269" w:lineRule="auto"/>
        <w:ind w:firstLine="317"/>
        <w:jc w:val="both"/>
      </w:pPr>
      <w:r>
        <w:rPr>
          <w:rFonts w:eastAsia="Times New Roman"/>
          <w:sz w:val="22"/>
        </w:rPr>
        <w:t>Rule-based logic is retained because each alert can show its condition and contributing records. Behavioural baselines add deviations in rates, peers, protocols or active periods. Risk is a bounded, versioned combination of stored factors such as severity, confidence, repetition, device criticality and cross-device corroboration. NetworkX represents device/entity relationships, while stable sorting and explicit correlation windows produce reproducible graphs and timelines. NIST log-management guidance suppo</w:t>
      </w:r>
      <w:r>
        <w:rPr>
          <w:rFonts w:eastAsia="Times New Roman"/>
          <w:sz w:val="22"/>
        </w:rPr>
        <w:t>rts structured, maintained security-log processes [5].</w:t>
      </w:r>
    </w:p>
    <w:p w14:paraId="524F8DB0" w14:textId="77777777" w:rsidR="00A506C4" w:rsidRDefault="00EC1EE6">
      <w:pPr>
        <w:keepNext/>
        <w:spacing w:before="80" w:after="60"/>
      </w:pPr>
      <w:r>
        <w:rPr>
          <w:rFonts w:eastAsia="Times New Roman"/>
          <w:b/>
          <w:sz w:val="23"/>
        </w:rPr>
        <w:t>4.2. Comparison with Existing Platforms</w:t>
      </w:r>
    </w:p>
    <w:tbl>
      <w:tblPr>
        <w:tblW w:w="96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4464"/>
        <w:gridCol w:w="3384"/>
      </w:tblGrid>
      <w:tr w:rsidR="00A506C4" w14:paraId="5CF9F18F" w14:textId="77777777">
        <w:trPr>
          <w:cantSplit/>
          <w:tblHeader/>
          <w:jc w:val="center"/>
        </w:trPr>
        <w:tc>
          <w:tcPr>
            <w:tcW w:w="1800" w:type="dxa"/>
            <w:shd w:val="clear" w:color="auto" w:fill="D9D9D9"/>
            <w:tcMar>
              <w:top w:w="90" w:type="dxa"/>
              <w:left w:w="100" w:type="dxa"/>
              <w:bottom w:w="90" w:type="dxa"/>
              <w:right w:w="100" w:type="dxa"/>
            </w:tcMar>
            <w:vAlign w:val="center"/>
          </w:tcPr>
          <w:p w14:paraId="50FB8A74" w14:textId="77777777" w:rsidR="00A506C4" w:rsidRDefault="00EC1EE6">
            <w:pPr>
              <w:spacing w:after="0"/>
              <w:jc w:val="center"/>
            </w:pPr>
            <w:r>
              <w:rPr>
                <w:rFonts w:eastAsia="Times New Roman"/>
                <w:b/>
                <w:sz w:val="15"/>
              </w:rPr>
              <w:t>Platform</w:t>
            </w:r>
          </w:p>
        </w:tc>
        <w:tc>
          <w:tcPr>
            <w:tcW w:w="4464" w:type="dxa"/>
            <w:shd w:val="clear" w:color="auto" w:fill="D9D9D9"/>
            <w:tcMar>
              <w:top w:w="90" w:type="dxa"/>
              <w:left w:w="100" w:type="dxa"/>
              <w:bottom w:w="90" w:type="dxa"/>
              <w:right w:w="100" w:type="dxa"/>
            </w:tcMar>
            <w:vAlign w:val="center"/>
          </w:tcPr>
          <w:p w14:paraId="5CFB6519" w14:textId="77777777" w:rsidR="00A506C4" w:rsidRDefault="00EC1EE6">
            <w:pPr>
              <w:spacing w:after="0"/>
              <w:jc w:val="center"/>
            </w:pPr>
            <w:r>
              <w:rPr>
                <w:rFonts w:eastAsia="Times New Roman"/>
                <w:b/>
                <w:sz w:val="15"/>
              </w:rPr>
              <w:t>Enterprise Strength</w:t>
            </w:r>
          </w:p>
        </w:tc>
        <w:tc>
          <w:tcPr>
            <w:tcW w:w="3384" w:type="dxa"/>
            <w:shd w:val="clear" w:color="auto" w:fill="D9D9D9"/>
            <w:tcMar>
              <w:top w:w="90" w:type="dxa"/>
              <w:left w:w="100" w:type="dxa"/>
              <w:bottom w:w="90" w:type="dxa"/>
              <w:right w:w="100" w:type="dxa"/>
            </w:tcMar>
            <w:vAlign w:val="center"/>
          </w:tcPr>
          <w:p w14:paraId="33624B92" w14:textId="77777777" w:rsidR="00A506C4" w:rsidRDefault="00EC1EE6">
            <w:pPr>
              <w:spacing w:after="0"/>
              <w:jc w:val="center"/>
            </w:pPr>
            <w:r>
              <w:rPr>
                <w:rFonts w:eastAsia="Times New Roman"/>
                <w:b/>
                <w:sz w:val="15"/>
              </w:rPr>
              <w:t>Sentinel Position</w:t>
            </w:r>
          </w:p>
        </w:tc>
      </w:tr>
      <w:tr w:rsidR="00A506C4" w14:paraId="00DB342D" w14:textId="77777777">
        <w:trPr>
          <w:cantSplit/>
          <w:jc w:val="center"/>
        </w:trPr>
        <w:tc>
          <w:tcPr>
            <w:tcW w:w="1800" w:type="dxa"/>
            <w:tcMar>
              <w:top w:w="90" w:type="dxa"/>
              <w:left w:w="100" w:type="dxa"/>
              <w:bottom w:w="90" w:type="dxa"/>
              <w:right w:w="100" w:type="dxa"/>
            </w:tcMar>
            <w:vAlign w:val="center"/>
          </w:tcPr>
          <w:p w14:paraId="7BB4ECC3" w14:textId="77777777" w:rsidR="00A506C4" w:rsidRDefault="00EC1EE6">
            <w:pPr>
              <w:spacing w:after="0" w:line="240" w:lineRule="auto"/>
              <w:jc w:val="center"/>
            </w:pPr>
            <w:r>
              <w:rPr>
                <w:rFonts w:eastAsia="Times New Roman"/>
                <w:sz w:val="15"/>
              </w:rPr>
              <w:t>Microsoft Defender for IoT</w:t>
            </w:r>
          </w:p>
        </w:tc>
        <w:tc>
          <w:tcPr>
            <w:tcW w:w="4464" w:type="dxa"/>
            <w:tcMar>
              <w:top w:w="90" w:type="dxa"/>
              <w:left w:w="100" w:type="dxa"/>
              <w:bottom w:w="90" w:type="dxa"/>
              <w:right w:w="100" w:type="dxa"/>
            </w:tcMar>
            <w:vAlign w:val="center"/>
          </w:tcPr>
          <w:p w14:paraId="66EBF1AB" w14:textId="77777777" w:rsidR="00A506C4" w:rsidRDefault="00EC1EE6">
            <w:pPr>
              <w:spacing w:after="0" w:line="240" w:lineRule="auto"/>
            </w:pPr>
            <w:r>
              <w:rPr>
                <w:rFonts w:eastAsia="Times New Roman"/>
                <w:sz w:val="15"/>
              </w:rPr>
              <w:t>IoT/OT discovery, network sensors, behavioural analytics, vulnerability information and Microsoft ecosystem integration [8].</w:t>
            </w:r>
          </w:p>
        </w:tc>
        <w:tc>
          <w:tcPr>
            <w:tcW w:w="3384" w:type="dxa"/>
            <w:tcMar>
              <w:top w:w="90" w:type="dxa"/>
              <w:left w:w="100" w:type="dxa"/>
              <w:bottom w:w="90" w:type="dxa"/>
              <w:right w:w="100" w:type="dxa"/>
            </w:tcMar>
            <w:vAlign w:val="center"/>
          </w:tcPr>
          <w:p w14:paraId="04A31EA4" w14:textId="77777777" w:rsidR="00A506C4" w:rsidRDefault="00EC1EE6">
            <w:pPr>
              <w:spacing w:after="0" w:line="240" w:lineRule="auto"/>
            </w:pPr>
            <w:r>
              <w:rPr>
                <w:rFonts w:eastAsia="Times New Roman"/>
                <w:sz w:val="15"/>
              </w:rPr>
              <w:t>Offline public-dataset DFIR prototype with transparent derivation and smart-home scenarios.</w:t>
            </w:r>
          </w:p>
        </w:tc>
      </w:tr>
      <w:tr w:rsidR="00A506C4" w14:paraId="728F5143" w14:textId="77777777">
        <w:trPr>
          <w:cantSplit/>
          <w:jc w:val="center"/>
        </w:trPr>
        <w:tc>
          <w:tcPr>
            <w:tcW w:w="1800" w:type="dxa"/>
            <w:tcMar>
              <w:top w:w="90" w:type="dxa"/>
              <w:left w:w="100" w:type="dxa"/>
              <w:bottom w:w="90" w:type="dxa"/>
              <w:right w:w="100" w:type="dxa"/>
            </w:tcMar>
            <w:vAlign w:val="center"/>
          </w:tcPr>
          <w:p w14:paraId="746D5778" w14:textId="77777777" w:rsidR="00A506C4" w:rsidRDefault="00EC1EE6">
            <w:pPr>
              <w:spacing w:after="0" w:line="240" w:lineRule="auto"/>
              <w:jc w:val="center"/>
            </w:pPr>
            <w:r>
              <w:rPr>
                <w:rFonts w:eastAsia="Times New Roman"/>
                <w:sz w:val="15"/>
              </w:rPr>
              <w:t>AWS IoT Device Defender</w:t>
            </w:r>
          </w:p>
        </w:tc>
        <w:tc>
          <w:tcPr>
            <w:tcW w:w="4464" w:type="dxa"/>
            <w:tcMar>
              <w:top w:w="90" w:type="dxa"/>
              <w:left w:w="100" w:type="dxa"/>
              <w:bottom w:w="90" w:type="dxa"/>
              <w:right w:w="100" w:type="dxa"/>
            </w:tcMar>
            <w:vAlign w:val="center"/>
          </w:tcPr>
          <w:p w14:paraId="21C18E7B" w14:textId="77777777" w:rsidR="00A506C4" w:rsidRDefault="00EC1EE6">
            <w:pPr>
              <w:spacing w:after="0" w:line="240" w:lineRule="auto"/>
            </w:pPr>
            <w:r>
              <w:rPr>
                <w:rFonts w:eastAsia="Times New Roman"/>
                <w:sz w:val="15"/>
              </w:rPr>
              <w:t>AWS IoT configuration audits, device behaviour metrics and mitigation actions [9].</w:t>
            </w:r>
          </w:p>
        </w:tc>
        <w:tc>
          <w:tcPr>
            <w:tcW w:w="3384" w:type="dxa"/>
            <w:tcMar>
              <w:top w:w="90" w:type="dxa"/>
              <w:left w:w="100" w:type="dxa"/>
              <w:bottom w:w="90" w:type="dxa"/>
              <w:right w:w="100" w:type="dxa"/>
            </w:tcMar>
            <w:vAlign w:val="center"/>
          </w:tcPr>
          <w:p w14:paraId="1983DBAE" w14:textId="77777777" w:rsidR="00A506C4" w:rsidRDefault="00EC1EE6">
            <w:pPr>
              <w:spacing w:after="0" w:line="240" w:lineRule="auto"/>
            </w:pPr>
            <w:r>
              <w:rPr>
                <w:rFonts w:eastAsia="Times New Roman"/>
                <w:sz w:val="15"/>
              </w:rPr>
              <w:t>Cloud-independent evidence analysis; no fleet enforcement or autonomous mitigation.</w:t>
            </w:r>
          </w:p>
        </w:tc>
      </w:tr>
      <w:tr w:rsidR="00A506C4" w14:paraId="480ABA60" w14:textId="77777777">
        <w:trPr>
          <w:cantSplit/>
          <w:jc w:val="center"/>
        </w:trPr>
        <w:tc>
          <w:tcPr>
            <w:tcW w:w="1800" w:type="dxa"/>
            <w:tcMar>
              <w:top w:w="90" w:type="dxa"/>
              <w:left w:w="100" w:type="dxa"/>
              <w:bottom w:w="90" w:type="dxa"/>
              <w:right w:w="100" w:type="dxa"/>
            </w:tcMar>
            <w:vAlign w:val="center"/>
          </w:tcPr>
          <w:p w14:paraId="7F2D7A3C" w14:textId="77777777" w:rsidR="00A506C4" w:rsidRDefault="00EC1EE6">
            <w:pPr>
              <w:spacing w:after="0" w:line="240" w:lineRule="auto"/>
              <w:jc w:val="center"/>
            </w:pPr>
            <w:r>
              <w:rPr>
                <w:rFonts w:eastAsia="Times New Roman"/>
                <w:sz w:val="15"/>
              </w:rPr>
              <w:t>Splunk Enterprise Security</w:t>
            </w:r>
          </w:p>
        </w:tc>
        <w:tc>
          <w:tcPr>
            <w:tcW w:w="4464" w:type="dxa"/>
            <w:tcMar>
              <w:top w:w="90" w:type="dxa"/>
              <w:left w:w="100" w:type="dxa"/>
              <w:bottom w:w="90" w:type="dxa"/>
              <w:right w:w="100" w:type="dxa"/>
            </w:tcMar>
            <w:vAlign w:val="center"/>
          </w:tcPr>
          <w:p w14:paraId="0EB75C97" w14:textId="77777777" w:rsidR="00A506C4" w:rsidRDefault="00EC1EE6">
            <w:pPr>
              <w:spacing w:after="0" w:line="240" w:lineRule="auto"/>
            </w:pPr>
            <w:r>
              <w:rPr>
                <w:rFonts w:eastAsia="Times New Roman"/>
                <w:sz w:val="15"/>
              </w:rPr>
              <w:t>Broad ingestion, correlation searches, risk-oriented triage and incident workflows [10].</w:t>
            </w:r>
          </w:p>
        </w:tc>
        <w:tc>
          <w:tcPr>
            <w:tcW w:w="3384" w:type="dxa"/>
            <w:tcMar>
              <w:top w:w="90" w:type="dxa"/>
              <w:left w:w="100" w:type="dxa"/>
              <w:bottom w:w="90" w:type="dxa"/>
              <w:right w:w="100" w:type="dxa"/>
            </w:tcMar>
            <w:vAlign w:val="center"/>
          </w:tcPr>
          <w:p w14:paraId="2B67CC06" w14:textId="77777777" w:rsidR="00A506C4" w:rsidRDefault="00EC1EE6">
            <w:pPr>
              <w:spacing w:after="0" w:line="240" w:lineRule="auto"/>
            </w:pPr>
            <w:r>
              <w:rPr>
                <w:rFonts w:eastAsia="Times New Roman"/>
                <w:sz w:val="15"/>
              </w:rPr>
              <w:t>Purpose-built canonical IoT event model and deterministic educational pipeline.</w:t>
            </w:r>
          </w:p>
        </w:tc>
      </w:tr>
      <w:tr w:rsidR="00A506C4" w14:paraId="2ABE351A" w14:textId="77777777">
        <w:trPr>
          <w:cantSplit/>
          <w:jc w:val="center"/>
        </w:trPr>
        <w:tc>
          <w:tcPr>
            <w:tcW w:w="1800" w:type="dxa"/>
            <w:tcMar>
              <w:top w:w="90" w:type="dxa"/>
              <w:left w:w="100" w:type="dxa"/>
              <w:bottom w:w="90" w:type="dxa"/>
              <w:right w:w="100" w:type="dxa"/>
            </w:tcMar>
            <w:vAlign w:val="center"/>
          </w:tcPr>
          <w:p w14:paraId="5E9CD78E" w14:textId="77777777" w:rsidR="00A506C4" w:rsidRDefault="00EC1EE6">
            <w:pPr>
              <w:spacing w:after="0" w:line="240" w:lineRule="auto"/>
              <w:jc w:val="center"/>
            </w:pPr>
            <w:r>
              <w:rPr>
                <w:rFonts w:eastAsia="Times New Roman"/>
                <w:sz w:val="15"/>
              </w:rPr>
              <w:t>IBM QRadar</w:t>
            </w:r>
          </w:p>
        </w:tc>
        <w:tc>
          <w:tcPr>
            <w:tcW w:w="4464" w:type="dxa"/>
            <w:tcMar>
              <w:top w:w="90" w:type="dxa"/>
              <w:left w:w="100" w:type="dxa"/>
              <w:bottom w:w="90" w:type="dxa"/>
              <w:right w:w="100" w:type="dxa"/>
            </w:tcMar>
            <w:vAlign w:val="center"/>
          </w:tcPr>
          <w:p w14:paraId="420644E4" w14:textId="77777777" w:rsidR="00A506C4" w:rsidRDefault="00EC1EE6">
            <w:pPr>
              <w:spacing w:after="0" w:line="240" w:lineRule="auto"/>
            </w:pPr>
            <w:r>
              <w:rPr>
                <w:rFonts w:eastAsia="Times New Roman"/>
                <w:sz w:val="15"/>
              </w:rPr>
              <w:t>Event/flow normalization, correlation rules and prioritized offenses [11].</w:t>
            </w:r>
          </w:p>
        </w:tc>
        <w:tc>
          <w:tcPr>
            <w:tcW w:w="3384" w:type="dxa"/>
            <w:tcMar>
              <w:top w:w="90" w:type="dxa"/>
              <w:left w:w="100" w:type="dxa"/>
              <w:bottom w:w="90" w:type="dxa"/>
              <w:right w:w="100" w:type="dxa"/>
            </w:tcMar>
            <w:vAlign w:val="center"/>
          </w:tcPr>
          <w:p w14:paraId="058DC4A9" w14:textId="77777777" w:rsidR="00A506C4" w:rsidRDefault="00EC1EE6">
            <w:pPr>
              <w:spacing w:after="0" w:line="240" w:lineRule="auto"/>
            </w:pPr>
            <w:r>
              <w:rPr>
                <w:rFonts w:eastAsia="Times New Roman"/>
                <w:sz w:val="15"/>
              </w:rPr>
              <w:t>Smaller case reconstruction, evidence timelines, device graphs and bounded local AI.</w:t>
            </w:r>
          </w:p>
        </w:tc>
      </w:tr>
    </w:tbl>
    <w:p w14:paraId="5E07F8A4" w14:textId="77777777" w:rsidR="00A506C4" w:rsidRDefault="00A506C4">
      <w:pPr>
        <w:spacing w:after="20"/>
      </w:pPr>
    </w:p>
    <w:p w14:paraId="72DA8F61" w14:textId="77777777" w:rsidR="00A506C4" w:rsidRDefault="00EC1EE6">
      <w:pPr>
        <w:spacing w:after="100" w:line="269" w:lineRule="auto"/>
        <w:ind w:firstLine="317"/>
        <w:jc w:val="both"/>
      </w:pPr>
      <w:r>
        <w:rPr>
          <w:rFonts w:eastAsia="Times New Roman"/>
          <w:sz w:val="22"/>
        </w:rPr>
        <w:t>These products are mature enterprise systems with deployment, scale, content and integration capabilities outside Sentinel's scope. The comparison is therefore contextual rather than competitive: Sentinel demonstrates selected DFIR concepts transparently using academic data.</w:t>
      </w:r>
    </w:p>
    <w:p w14:paraId="45BB7A58" w14:textId="77777777" w:rsidR="00A506C4" w:rsidRDefault="00EC1EE6">
      <w:pPr>
        <w:keepNext/>
        <w:spacing w:before="80" w:after="60"/>
      </w:pPr>
      <w:r>
        <w:rPr>
          <w:rFonts w:eastAsia="Times New Roman"/>
          <w:b/>
          <w:sz w:val="23"/>
        </w:rPr>
        <w:t>4.3. Research Gap</w:t>
      </w:r>
    </w:p>
    <w:p w14:paraId="4451506B" w14:textId="77777777" w:rsidR="00A506C4" w:rsidRDefault="00EC1EE6">
      <w:pPr>
        <w:spacing w:after="100" w:line="269" w:lineRule="auto"/>
        <w:ind w:firstLine="317"/>
        <w:jc w:val="both"/>
      </w:pPr>
      <w:r>
        <w:rPr>
          <w:rFonts w:eastAsia="Times New Roman"/>
          <w:sz w:val="22"/>
        </w:rPr>
        <w:t>A gap exists between intrusion-detection experiments and complete, inspectable DFIR workflows. Many prototypes classify rows but do not preserve a traceable path through normalization, risk factors, cross-device links, timeline membership and visual values. Adaptive dashboards may also allow generative systems to produce unchecked content. Sentinel addresses this gap by combining deterministic analytics, evidence-grounded local AI and a visualization contract that permits layout selection without permitting</w:t>
      </w:r>
      <w:r>
        <w:rPr>
          <w:rFonts w:eastAsia="Times New Roman"/>
          <w:sz w:val="22"/>
        </w:rPr>
        <w:t xml:space="preserve"> invented numerical values or arbitrary frontend code.</w:t>
      </w:r>
    </w:p>
    <w:p w14:paraId="7E86F986" w14:textId="77777777" w:rsidR="00A506C4" w:rsidRDefault="00EC1EE6">
      <w:pPr>
        <w:keepNext/>
        <w:spacing w:before="120" w:after="60"/>
      </w:pPr>
      <w:r>
        <w:rPr>
          <w:rFonts w:eastAsia="Times New Roman"/>
          <w:b/>
          <w:sz w:val="26"/>
        </w:rPr>
        <w:t>5. Why is this particular topic chosen?</w:t>
      </w:r>
    </w:p>
    <w:p w14:paraId="1B1F9606" w14:textId="77777777" w:rsidR="00A506C4" w:rsidRDefault="00EC1EE6">
      <w:pPr>
        <w:spacing w:after="100" w:line="269" w:lineRule="auto"/>
        <w:ind w:firstLine="317"/>
        <w:jc w:val="both"/>
      </w:pPr>
      <w:r>
        <w:rPr>
          <w:rFonts w:eastAsia="Times New Roman"/>
          <w:sz w:val="22"/>
        </w:rPr>
        <w:t>Smart-home IoT was selected because it is familiar yet forensically demanding. Several vendors and device types interact in one private environment, so evidence is fragmented and privacy-sensitive. Public datasets permit repeatable experiments without collecting household telemetry, while simulated incidents create controlled multi-device narratives. The domain also provides a practical way to study explainability, correlation, timeline reconstruction, privacy-conscious local AI and safe adaptive visualizat</w:t>
      </w:r>
      <w:r>
        <w:rPr>
          <w:rFonts w:eastAsia="Times New Roman"/>
          <w:sz w:val="22"/>
        </w:rPr>
        <w:t>ion.</w:t>
      </w:r>
    </w:p>
    <w:p w14:paraId="25CB1FE6" w14:textId="77777777" w:rsidR="00A506C4" w:rsidRDefault="00EC1EE6">
      <w:pPr>
        <w:keepNext/>
        <w:spacing w:before="120" w:after="60"/>
      </w:pPr>
      <w:r>
        <w:rPr>
          <w:rFonts w:eastAsia="Times New Roman"/>
          <w:b/>
          <w:sz w:val="26"/>
        </w:rPr>
        <w:t>6. Objective and Scope of the project</w:t>
      </w:r>
    </w:p>
    <w:p w14:paraId="7C938B79" w14:textId="77777777" w:rsidR="00A506C4" w:rsidRDefault="00EC1EE6">
      <w:pPr>
        <w:keepNext/>
        <w:spacing w:before="80" w:after="60"/>
      </w:pPr>
      <w:r>
        <w:rPr>
          <w:rFonts w:eastAsia="Times New Roman"/>
          <w:b/>
          <w:sz w:val="23"/>
        </w:rPr>
        <w:t>6.1. Objectives and Scope</w:t>
      </w:r>
    </w:p>
    <w:p w14:paraId="435AA7C1" w14:textId="77777777" w:rsidR="00A506C4" w:rsidRDefault="00EC1EE6">
      <w:pPr>
        <w:pStyle w:val="ListBullet"/>
        <w:spacing w:after="40" w:line="240" w:lineRule="auto"/>
        <w:ind w:left="389" w:hanging="245"/>
      </w:pPr>
      <w:r>
        <w:rPr>
          <w:rFonts w:eastAsia="Times New Roman"/>
          <w:sz w:val="21"/>
        </w:rPr>
        <w:t>Ingest selected TON_IoT, CICIoT2023 and simulated evidence with source hashes, adapter versions and validation errors.</w:t>
      </w:r>
    </w:p>
    <w:p w14:paraId="07E26844" w14:textId="77777777" w:rsidR="00A506C4" w:rsidRDefault="00EC1EE6">
      <w:pPr>
        <w:pStyle w:val="ListBullet"/>
        <w:spacing w:after="40" w:line="240" w:lineRule="auto"/>
        <w:ind w:left="389" w:hanging="245"/>
      </w:pPr>
      <w:r>
        <w:rPr>
          <w:rFonts w:eastAsia="Times New Roman"/>
          <w:sz w:val="21"/>
        </w:rPr>
        <w:t>Normalize records into a canonical event model while retaining raw-record locators.</w:t>
      </w:r>
    </w:p>
    <w:p w14:paraId="13C6A151" w14:textId="77777777" w:rsidR="00A506C4" w:rsidRDefault="00EC1EE6">
      <w:pPr>
        <w:pStyle w:val="ListBullet"/>
        <w:spacing w:after="40" w:line="240" w:lineRule="auto"/>
        <w:ind w:left="389" w:hanging="245"/>
      </w:pPr>
      <w:r>
        <w:rPr>
          <w:rFonts w:eastAsia="Times New Roman"/>
          <w:sz w:val="21"/>
        </w:rPr>
        <w:t>Use deterministic Python for filtering, stable sorting, rules, baselines, risk scoring, correlation, timelines, chart aggregates and graph values.</w:t>
      </w:r>
    </w:p>
    <w:p w14:paraId="46276523" w14:textId="77777777" w:rsidR="00A506C4" w:rsidRDefault="00EC1EE6">
      <w:pPr>
        <w:pStyle w:val="ListBullet"/>
        <w:spacing w:after="40" w:line="240" w:lineRule="auto"/>
        <w:ind w:left="389" w:hanging="245"/>
      </w:pPr>
      <w:r>
        <w:rPr>
          <w:rFonts w:eastAsia="Times New Roman"/>
          <w:sz w:val="21"/>
        </w:rPr>
        <w:t>Provide a React dashboard containing metric/severity cards, timelines, line/bar/pie charts, evidence tables, device graphs and recommendation panels.</w:t>
      </w:r>
    </w:p>
    <w:p w14:paraId="705FB8D8" w14:textId="77777777" w:rsidR="00A506C4" w:rsidRDefault="00EC1EE6">
      <w:pPr>
        <w:pStyle w:val="ListBullet"/>
        <w:spacing w:after="40" w:line="240" w:lineRule="auto"/>
        <w:ind w:left="389" w:hanging="245"/>
      </w:pPr>
      <w:r>
        <w:rPr>
          <w:rFonts w:eastAsia="Times New Roman"/>
          <w:sz w:val="21"/>
        </w:rPr>
        <w:t>Use local Qwen 9B Q4_K_M through Ollama only for summaries, grounded explanations, investigation chat, email drafting and visualization layout planning.</w:t>
      </w:r>
    </w:p>
    <w:p w14:paraId="23431B19" w14:textId="77777777" w:rsidR="00A506C4" w:rsidRDefault="00EC1EE6">
      <w:pPr>
        <w:pStyle w:val="ListBullet"/>
        <w:spacing w:after="40" w:line="240" w:lineRule="auto"/>
        <w:ind w:left="389" w:hanging="245"/>
      </w:pPr>
      <w:r>
        <w:rPr>
          <w:rFonts w:eastAsia="Times New Roman"/>
          <w:sz w:val="21"/>
        </w:rPr>
        <w:t>Evaluate correctness, reproducibility, detection/correlation quality, visualization safety, usability and performance.</w:t>
      </w:r>
    </w:p>
    <w:p w14:paraId="607365D2" w14:textId="77777777" w:rsidR="00A506C4" w:rsidRDefault="00EC1EE6">
      <w:pPr>
        <w:spacing w:after="100" w:line="269" w:lineRule="auto"/>
        <w:ind w:firstLine="317"/>
        <w:jc w:val="both"/>
      </w:pPr>
      <w:r>
        <w:rPr>
          <w:rFonts w:eastAsia="Times New Roman"/>
          <w:sz w:val="22"/>
        </w:rPr>
        <w:t>In scope are batch imports, case management, deterministic analysis, dashboard review, local AI assistance, SQLite storage, SMTP alerts and report export. Out of scope are production-device acquisition, firmware extraction, live interception, autonomous containment, legal-admissibility claims and replacement of enterprise products. The study uses public datasets and simulated incidents, not production smart-home devices.</w:t>
      </w:r>
    </w:p>
    <w:p w14:paraId="46161E07" w14:textId="77777777" w:rsidR="00A506C4" w:rsidRDefault="00EC1EE6">
      <w:pPr>
        <w:keepNext/>
        <w:spacing w:before="80" w:after="60"/>
      </w:pPr>
      <w:r>
        <w:rPr>
          <w:rFonts w:eastAsia="Times New Roman"/>
          <w:b/>
          <w:sz w:val="23"/>
        </w:rPr>
        <w:t>6.2. Architecture and Workflow</w:t>
      </w:r>
    </w:p>
    <w:p w14:paraId="598ACC3B" w14:textId="77777777" w:rsidR="00A506C4" w:rsidRDefault="00EC1EE6">
      <w:pPr>
        <w:spacing w:after="100" w:line="269" w:lineRule="auto"/>
        <w:ind w:firstLine="317"/>
        <w:jc w:val="both"/>
      </w:pPr>
      <w:r>
        <w:rPr>
          <w:rFonts w:eastAsia="Times New Roman"/>
          <w:sz w:val="22"/>
        </w:rPr>
        <w:t>The layered architecture separates dataset adapters, the canonical event model, deterministic analytics, persistence, API services, the visualization registry and the AI assistant. Imported evidence and model output are both treated as untrusted. FastAPI and Pydantic validate requests and responses; SQLite stores cases and derived artifacts through a repository boundary that can later support PostgreSQL.</w:t>
      </w:r>
    </w:p>
    <w:p w14:paraId="3CC9DD88" w14:textId="77777777" w:rsidR="00A506C4" w:rsidRDefault="00EC1EE6">
      <w:pPr>
        <w:keepNext/>
        <w:jc w:val="center"/>
      </w:pPr>
      <w:r>
        <w:rPr>
          <w:noProof/>
        </w:rPr>
        <w:drawing>
          <wp:inline distT="0" distB="0" distL="0" distR="0" wp14:anchorId="3FAB72B4" wp14:editId="2F5C293A">
            <wp:extent cx="5166360" cy="3214624"/>
            <wp:effectExtent l="0" t="0" r="0" b="0"/>
            <wp:docPr id="2" name="Picture 2" descr="Evidence sources pass through deterministic DFIR, storage, APIs, visualization and local AI to the dashboard" title="Sentin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166360" cy="3214624"/>
                    </a:xfrm>
                    <a:prstGeom prst="rect">
                      <a:avLst/>
                    </a:prstGeom>
                  </pic:spPr>
                </pic:pic>
              </a:graphicData>
            </a:graphic>
          </wp:inline>
        </w:drawing>
      </w:r>
    </w:p>
    <w:p w14:paraId="27448C0A" w14:textId="77777777" w:rsidR="00A506C4" w:rsidRDefault="00EC1EE6">
      <w:pPr>
        <w:keepNext/>
        <w:spacing w:before="60" w:after="160"/>
        <w:jc w:val="center"/>
      </w:pPr>
      <w:r>
        <w:rPr>
          <w:rFonts w:eastAsia="Times New Roman"/>
          <w:i/>
          <w:sz w:val="21"/>
        </w:rPr>
        <w:t>Figure 1. Proposed Sentinel system architecture</w:t>
      </w:r>
    </w:p>
    <w:p w14:paraId="0BBD291D" w14:textId="77777777" w:rsidR="00A506C4" w:rsidRDefault="00EC1EE6">
      <w:pPr>
        <w:keepNext/>
        <w:jc w:val="center"/>
      </w:pPr>
      <w:r>
        <w:rPr>
          <w:noProof/>
        </w:rPr>
        <w:drawing>
          <wp:inline distT="0" distB="0" distL="0" distR="0" wp14:anchorId="7DA654A2" wp14:editId="7109BE63">
            <wp:extent cx="5303520" cy="1953928"/>
            <wp:effectExtent l="0" t="0" r="0" b="0"/>
            <wp:docPr id="3" name="Picture 3" descr="Acquire, normalize, analyse, correlate and present" title="Sentine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303520" cy="1953928"/>
                    </a:xfrm>
                    <a:prstGeom prst="rect">
                      <a:avLst/>
                    </a:prstGeom>
                  </pic:spPr>
                </pic:pic>
              </a:graphicData>
            </a:graphic>
          </wp:inline>
        </w:drawing>
      </w:r>
    </w:p>
    <w:p w14:paraId="72DEE9F7" w14:textId="77777777" w:rsidR="00A506C4" w:rsidRDefault="00EC1EE6">
      <w:pPr>
        <w:keepNext/>
        <w:spacing w:before="60" w:after="160"/>
        <w:jc w:val="center"/>
      </w:pPr>
      <w:r>
        <w:rPr>
          <w:rFonts w:eastAsia="Times New Roman"/>
          <w:i/>
          <w:sz w:val="21"/>
        </w:rPr>
        <w:t>Figure 2. Evidence-to-investigation workflow</w:t>
      </w:r>
    </w:p>
    <w:p w14:paraId="6CC29DEA" w14:textId="77777777" w:rsidR="00A506C4" w:rsidRDefault="00EC1EE6">
      <w:pPr>
        <w:spacing w:after="100" w:line="269" w:lineRule="auto"/>
        <w:ind w:firstLine="317"/>
        <w:jc w:val="both"/>
      </w:pPr>
      <w:r>
        <w:rPr>
          <w:rFonts w:eastAsia="Times New Roman"/>
          <w:sz w:val="22"/>
        </w:rPr>
        <w:t>The workflow registers and hashes evidence, validates and normalizes rows, performs rules/baselines and factorized scoring, correlates events by declared entity keys and time windows, and renders verified results. Every derived artifact records evidence identifiers and configuration versions. The model is invoked only after deterministic analysis and its failure does not disable core DFIR functions.</w:t>
      </w:r>
    </w:p>
    <w:p w14:paraId="01311D83" w14:textId="77777777" w:rsidR="00A506C4" w:rsidRDefault="00EC1EE6">
      <w:pPr>
        <w:keepNext/>
        <w:spacing w:before="80" w:after="60"/>
      </w:pPr>
      <w:r>
        <w:rPr>
          <w:rFonts w:eastAsia="Times New Roman"/>
          <w:b/>
          <w:sz w:val="23"/>
        </w:rPr>
        <w:t>6.3. Module Descriptions</w:t>
      </w:r>
    </w:p>
    <w:tbl>
      <w:tblPr>
        <w:tblW w:w="96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20"/>
        <w:gridCol w:w="7128"/>
      </w:tblGrid>
      <w:tr w:rsidR="00A506C4" w14:paraId="5A832CEE" w14:textId="77777777">
        <w:trPr>
          <w:cantSplit/>
          <w:tblHeader/>
          <w:jc w:val="center"/>
        </w:trPr>
        <w:tc>
          <w:tcPr>
            <w:tcW w:w="2520" w:type="dxa"/>
            <w:shd w:val="clear" w:color="auto" w:fill="D9D9D9"/>
            <w:tcMar>
              <w:top w:w="90" w:type="dxa"/>
              <w:left w:w="100" w:type="dxa"/>
              <w:bottom w:w="90" w:type="dxa"/>
              <w:right w:w="100" w:type="dxa"/>
            </w:tcMar>
            <w:vAlign w:val="center"/>
          </w:tcPr>
          <w:p w14:paraId="5445D5AC" w14:textId="77777777" w:rsidR="00A506C4" w:rsidRDefault="00EC1EE6">
            <w:pPr>
              <w:spacing w:after="0"/>
              <w:jc w:val="center"/>
            </w:pPr>
            <w:r>
              <w:rPr>
                <w:rFonts w:eastAsia="Times New Roman"/>
                <w:b/>
                <w:sz w:val="16"/>
              </w:rPr>
              <w:t>Module</w:t>
            </w:r>
          </w:p>
        </w:tc>
        <w:tc>
          <w:tcPr>
            <w:tcW w:w="7128" w:type="dxa"/>
            <w:shd w:val="clear" w:color="auto" w:fill="D9D9D9"/>
            <w:tcMar>
              <w:top w:w="90" w:type="dxa"/>
              <w:left w:w="100" w:type="dxa"/>
              <w:bottom w:w="90" w:type="dxa"/>
              <w:right w:w="100" w:type="dxa"/>
            </w:tcMar>
            <w:vAlign w:val="center"/>
          </w:tcPr>
          <w:p w14:paraId="16231256" w14:textId="77777777" w:rsidR="00A506C4" w:rsidRDefault="00EC1EE6">
            <w:pPr>
              <w:spacing w:after="0"/>
              <w:jc w:val="center"/>
            </w:pPr>
            <w:r>
              <w:rPr>
                <w:rFonts w:eastAsia="Times New Roman"/>
                <w:b/>
                <w:sz w:val="16"/>
              </w:rPr>
              <w:t>Responsibility</w:t>
            </w:r>
          </w:p>
        </w:tc>
      </w:tr>
      <w:tr w:rsidR="00A506C4" w14:paraId="3D8BB03F" w14:textId="77777777">
        <w:trPr>
          <w:cantSplit/>
          <w:jc w:val="center"/>
        </w:trPr>
        <w:tc>
          <w:tcPr>
            <w:tcW w:w="2520" w:type="dxa"/>
            <w:tcMar>
              <w:top w:w="90" w:type="dxa"/>
              <w:left w:w="100" w:type="dxa"/>
              <w:bottom w:w="90" w:type="dxa"/>
              <w:right w:w="100" w:type="dxa"/>
            </w:tcMar>
            <w:vAlign w:val="center"/>
          </w:tcPr>
          <w:p w14:paraId="755F8F6F" w14:textId="77777777" w:rsidR="00A506C4" w:rsidRDefault="00EC1EE6">
            <w:pPr>
              <w:spacing w:after="0" w:line="240" w:lineRule="auto"/>
              <w:jc w:val="center"/>
            </w:pPr>
            <w:r>
              <w:rPr>
                <w:rFonts w:eastAsia="Times New Roman"/>
                <w:sz w:val="16"/>
              </w:rPr>
              <w:t>Evidence and Adapter Layer</w:t>
            </w:r>
          </w:p>
        </w:tc>
        <w:tc>
          <w:tcPr>
            <w:tcW w:w="7128" w:type="dxa"/>
            <w:tcMar>
              <w:top w:w="90" w:type="dxa"/>
              <w:left w:w="100" w:type="dxa"/>
              <w:bottom w:w="90" w:type="dxa"/>
              <w:right w:w="100" w:type="dxa"/>
            </w:tcMar>
            <w:vAlign w:val="center"/>
          </w:tcPr>
          <w:p w14:paraId="6E0E8185" w14:textId="77777777" w:rsidR="00A506C4" w:rsidRDefault="00EC1EE6">
            <w:pPr>
              <w:spacing w:after="0" w:line="240" w:lineRule="auto"/>
            </w:pPr>
            <w:r>
              <w:rPr>
                <w:rFonts w:eastAsia="Times New Roman"/>
                <w:sz w:val="16"/>
              </w:rPr>
              <w:t>Registers cases and hashes; validates dataset columns; emits normalized events or documented rejections.</w:t>
            </w:r>
          </w:p>
        </w:tc>
      </w:tr>
      <w:tr w:rsidR="00A506C4" w14:paraId="794B7D47" w14:textId="77777777">
        <w:trPr>
          <w:cantSplit/>
          <w:jc w:val="center"/>
        </w:trPr>
        <w:tc>
          <w:tcPr>
            <w:tcW w:w="2520" w:type="dxa"/>
            <w:tcMar>
              <w:top w:w="90" w:type="dxa"/>
              <w:left w:w="100" w:type="dxa"/>
              <w:bottom w:w="90" w:type="dxa"/>
              <w:right w:w="100" w:type="dxa"/>
            </w:tcMar>
            <w:vAlign w:val="center"/>
          </w:tcPr>
          <w:p w14:paraId="32F52E24" w14:textId="77777777" w:rsidR="00A506C4" w:rsidRDefault="00EC1EE6">
            <w:pPr>
              <w:spacing w:after="0" w:line="240" w:lineRule="auto"/>
              <w:jc w:val="center"/>
            </w:pPr>
            <w:r>
              <w:rPr>
                <w:rFonts w:eastAsia="Times New Roman"/>
                <w:sz w:val="16"/>
              </w:rPr>
              <w:t>Detection and Risk Engine</w:t>
            </w:r>
          </w:p>
        </w:tc>
        <w:tc>
          <w:tcPr>
            <w:tcW w:w="7128" w:type="dxa"/>
            <w:tcMar>
              <w:top w:w="90" w:type="dxa"/>
              <w:left w:w="100" w:type="dxa"/>
              <w:bottom w:w="90" w:type="dxa"/>
              <w:right w:w="100" w:type="dxa"/>
            </w:tcMar>
            <w:vAlign w:val="center"/>
          </w:tcPr>
          <w:p w14:paraId="02F7D8F9" w14:textId="77777777" w:rsidR="00A506C4" w:rsidRDefault="00EC1EE6">
            <w:pPr>
              <w:spacing w:after="0" w:line="240" w:lineRule="auto"/>
            </w:pPr>
            <w:r>
              <w:rPr>
                <w:rFonts w:eastAsia="Times New Roman"/>
                <w:sz w:val="16"/>
              </w:rPr>
              <w:t>Executes rules and baselines; returns evidence lists, condition traces, factor breakdowns and bounded scores.</w:t>
            </w:r>
          </w:p>
        </w:tc>
      </w:tr>
      <w:tr w:rsidR="00A506C4" w14:paraId="46495B16" w14:textId="77777777">
        <w:trPr>
          <w:cantSplit/>
          <w:jc w:val="center"/>
        </w:trPr>
        <w:tc>
          <w:tcPr>
            <w:tcW w:w="2520" w:type="dxa"/>
            <w:tcMar>
              <w:top w:w="90" w:type="dxa"/>
              <w:left w:w="100" w:type="dxa"/>
              <w:bottom w:w="90" w:type="dxa"/>
              <w:right w:w="100" w:type="dxa"/>
            </w:tcMar>
            <w:vAlign w:val="center"/>
          </w:tcPr>
          <w:p w14:paraId="60120F2B" w14:textId="77777777" w:rsidR="00A506C4" w:rsidRDefault="00EC1EE6">
            <w:pPr>
              <w:spacing w:after="0" w:line="240" w:lineRule="auto"/>
              <w:jc w:val="center"/>
            </w:pPr>
            <w:r>
              <w:rPr>
                <w:rFonts w:eastAsia="Times New Roman"/>
                <w:sz w:val="16"/>
              </w:rPr>
              <w:t>Correlation and Timeline Engine</w:t>
            </w:r>
          </w:p>
        </w:tc>
        <w:tc>
          <w:tcPr>
            <w:tcW w:w="7128" w:type="dxa"/>
            <w:tcMar>
              <w:top w:w="90" w:type="dxa"/>
              <w:left w:w="100" w:type="dxa"/>
              <w:bottom w:w="90" w:type="dxa"/>
              <w:right w:w="100" w:type="dxa"/>
            </w:tcMar>
            <w:vAlign w:val="center"/>
          </w:tcPr>
          <w:p w14:paraId="2FDCD7A3" w14:textId="77777777" w:rsidR="00A506C4" w:rsidRDefault="00EC1EE6">
            <w:pPr>
              <w:spacing w:after="0" w:line="240" w:lineRule="auto"/>
            </w:pPr>
            <w:r>
              <w:rPr>
                <w:rFonts w:eastAsia="Times New Roman"/>
                <w:sz w:val="16"/>
              </w:rPr>
              <w:t>Links events using configured keys/windows; records link reasons; stable-sorts case chronology.</w:t>
            </w:r>
          </w:p>
        </w:tc>
      </w:tr>
      <w:tr w:rsidR="00A506C4" w14:paraId="5107F304" w14:textId="77777777">
        <w:trPr>
          <w:cantSplit/>
          <w:jc w:val="center"/>
        </w:trPr>
        <w:tc>
          <w:tcPr>
            <w:tcW w:w="2520" w:type="dxa"/>
            <w:tcMar>
              <w:top w:w="90" w:type="dxa"/>
              <w:left w:w="100" w:type="dxa"/>
              <w:bottom w:w="90" w:type="dxa"/>
              <w:right w:w="100" w:type="dxa"/>
            </w:tcMar>
            <w:vAlign w:val="center"/>
          </w:tcPr>
          <w:p w14:paraId="073830CA" w14:textId="77777777" w:rsidR="00A506C4" w:rsidRDefault="00EC1EE6">
            <w:pPr>
              <w:spacing w:after="0" w:line="240" w:lineRule="auto"/>
              <w:jc w:val="center"/>
            </w:pPr>
            <w:r>
              <w:rPr>
                <w:rFonts w:eastAsia="Times New Roman"/>
                <w:sz w:val="16"/>
              </w:rPr>
              <w:t>Graph and Query Engine</w:t>
            </w:r>
          </w:p>
        </w:tc>
        <w:tc>
          <w:tcPr>
            <w:tcW w:w="7128" w:type="dxa"/>
            <w:tcMar>
              <w:top w:w="90" w:type="dxa"/>
              <w:left w:w="100" w:type="dxa"/>
              <w:bottom w:w="90" w:type="dxa"/>
              <w:right w:w="100" w:type="dxa"/>
            </w:tcMar>
            <w:vAlign w:val="center"/>
          </w:tcPr>
          <w:p w14:paraId="11B4680A" w14:textId="77777777" w:rsidR="00A506C4" w:rsidRDefault="00EC1EE6">
            <w:pPr>
              <w:spacing w:after="0" w:line="240" w:lineRule="auto"/>
            </w:pPr>
            <w:r>
              <w:rPr>
                <w:rFonts w:eastAsia="Times New Roman"/>
                <w:sz w:val="16"/>
              </w:rPr>
              <w:t>Uses NetworkX and Pandas for graph measures, filters, aggregates and chart-ready values.</w:t>
            </w:r>
          </w:p>
        </w:tc>
      </w:tr>
      <w:tr w:rsidR="00A506C4" w14:paraId="0B652D40" w14:textId="77777777">
        <w:trPr>
          <w:cantSplit/>
          <w:jc w:val="center"/>
        </w:trPr>
        <w:tc>
          <w:tcPr>
            <w:tcW w:w="2520" w:type="dxa"/>
            <w:tcMar>
              <w:top w:w="90" w:type="dxa"/>
              <w:left w:w="100" w:type="dxa"/>
              <w:bottom w:w="90" w:type="dxa"/>
              <w:right w:w="100" w:type="dxa"/>
            </w:tcMar>
            <w:vAlign w:val="center"/>
          </w:tcPr>
          <w:p w14:paraId="3902C0D0" w14:textId="77777777" w:rsidR="00A506C4" w:rsidRDefault="00EC1EE6">
            <w:pPr>
              <w:spacing w:after="0" w:line="240" w:lineRule="auto"/>
              <w:jc w:val="center"/>
            </w:pPr>
            <w:r>
              <w:rPr>
                <w:rFonts w:eastAsia="Times New Roman"/>
                <w:sz w:val="16"/>
              </w:rPr>
              <w:t>API, Storage and Alerts</w:t>
            </w:r>
          </w:p>
        </w:tc>
        <w:tc>
          <w:tcPr>
            <w:tcW w:w="7128" w:type="dxa"/>
            <w:tcMar>
              <w:top w:w="90" w:type="dxa"/>
              <w:left w:w="100" w:type="dxa"/>
              <w:bottom w:w="90" w:type="dxa"/>
              <w:right w:w="100" w:type="dxa"/>
            </w:tcMar>
            <w:vAlign w:val="center"/>
          </w:tcPr>
          <w:p w14:paraId="39ABB5AB" w14:textId="77777777" w:rsidR="00A506C4" w:rsidRDefault="00EC1EE6">
            <w:pPr>
              <w:spacing w:after="0" w:line="240" w:lineRule="auto"/>
            </w:pPr>
            <w:r>
              <w:rPr>
                <w:rFonts w:eastAsia="Times New Roman"/>
                <w:sz w:val="16"/>
              </w:rPr>
              <w:t>FastAPI/Pydantic services, SQLite repositories, audit history, report export and investigator-approved SMTP.</w:t>
            </w:r>
          </w:p>
        </w:tc>
      </w:tr>
      <w:tr w:rsidR="00A506C4" w14:paraId="6A6C3D4C" w14:textId="77777777">
        <w:trPr>
          <w:cantSplit/>
          <w:jc w:val="center"/>
        </w:trPr>
        <w:tc>
          <w:tcPr>
            <w:tcW w:w="2520" w:type="dxa"/>
            <w:tcMar>
              <w:top w:w="90" w:type="dxa"/>
              <w:left w:w="100" w:type="dxa"/>
              <w:bottom w:w="90" w:type="dxa"/>
              <w:right w:w="100" w:type="dxa"/>
            </w:tcMar>
            <w:vAlign w:val="center"/>
          </w:tcPr>
          <w:p w14:paraId="4385B8B5" w14:textId="77777777" w:rsidR="00A506C4" w:rsidRDefault="00EC1EE6">
            <w:pPr>
              <w:spacing w:after="0" w:line="240" w:lineRule="auto"/>
              <w:jc w:val="center"/>
            </w:pPr>
            <w:r>
              <w:rPr>
                <w:rFonts w:eastAsia="Times New Roman"/>
                <w:sz w:val="16"/>
              </w:rPr>
              <w:t>Visualization and AI</w:t>
            </w:r>
          </w:p>
        </w:tc>
        <w:tc>
          <w:tcPr>
            <w:tcW w:w="7128" w:type="dxa"/>
            <w:tcMar>
              <w:top w:w="90" w:type="dxa"/>
              <w:left w:w="100" w:type="dxa"/>
              <w:bottom w:w="90" w:type="dxa"/>
              <w:right w:w="100" w:type="dxa"/>
            </w:tcMar>
            <w:vAlign w:val="center"/>
          </w:tcPr>
          <w:p w14:paraId="7C0BC407" w14:textId="77777777" w:rsidR="00A506C4" w:rsidRDefault="00EC1EE6">
            <w:pPr>
              <w:spacing w:after="0" w:line="240" w:lineRule="auto"/>
            </w:pPr>
            <w:r>
              <w:rPr>
                <w:rFonts w:eastAsia="Times New Roman"/>
                <w:sz w:val="16"/>
              </w:rPr>
              <w:t>Renders allow-listed components and provides bounded, evidence-grounded local assistance.</w:t>
            </w:r>
          </w:p>
        </w:tc>
      </w:tr>
    </w:tbl>
    <w:p w14:paraId="55787715" w14:textId="77777777" w:rsidR="00A506C4" w:rsidRDefault="00A506C4">
      <w:pPr>
        <w:spacing w:after="20"/>
      </w:pPr>
    </w:p>
    <w:p w14:paraId="097D3EBE" w14:textId="77777777" w:rsidR="00A506C4" w:rsidRDefault="00EC1EE6">
      <w:pPr>
        <w:keepNext/>
        <w:spacing w:before="80" w:after="60"/>
      </w:pPr>
      <w:r>
        <w:rPr>
          <w:rFonts w:eastAsia="Times New Roman"/>
          <w:b/>
          <w:sz w:val="23"/>
        </w:rPr>
        <w:t>6.4. Visualization Engine</w:t>
      </w:r>
    </w:p>
    <w:p w14:paraId="24DCB7E5" w14:textId="77777777" w:rsidR="00A506C4" w:rsidRDefault="00EC1EE6">
      <w:pPr>
        <w:spacing w:after="100" w:line="269" w:lineRule="auto"/>
        <w:ind w:firstLine="317"/>
        <w:jc w:val="both"/>
      </w:pPr>
      <w:r>
        <w:rPr>
          <w:rFonts w:eastAsia="Times New Roman"/>
          <w:sz w:val="22"/>
        </w:rPr>
        <w:t>The Visualization Engine maps a Pydantic-validated JSON specification to predefined React components implemented with Recharts and React Flow. The specification contains a schema version, allow-listed component name, deterministic data reference, existing-field encodings and bounded layout metadata. It cannot contain JavaScript, JSX, SQL, Python, free-form expressions or numerical arrays invented by the model. Unknown components, fields or case references are rejected and a safe default layout is used.</w:t>
      </w:r>
    </w:p>
    <w:p w14:paraId="4287A0DC" w14:textId="77777777" w:rsidR="00A506C4" w:rsidRDefault="00EC1EE6">
      <w:pPr>
        <w:keepNext/>
        <w:spacing w:before="80" w:after="60"/>
      </w:pPr>
      <w:r>
        <w:rPr>
          <w:rFonts w:eastAsia="Times New Roman"/>
          <w:b/>
          <w:sz w:val="23"/>
        </w:rPr>
        <w:t>6.5. AI Investigation Assistant</w:t>
      </w:r>
    </w:p>
    <w:p w14:paraId="6832FB80" w14:textId="77777777" w:rsidR="00A506C4" w:rsidRDefault="00EC1EE6">
      <w:pPr>
        <w:spacing w:after="100" w:line="269" w:lineRule="auto"/>
        <w:ind w:firstLine="317"/>
        <w:jc w:val="both"/>
      </w:pPr>
      <w:r>
        <w:rPr>
          <w:rFonts w:eastAsia="Times New Roman"/>
          <w:sz w:val="22"/>
        </w:rPr>
        <w:t>Qwen 9B Q4_K_M runs locally through Ollama. Structured-output support allows schema-constrained JSON [7], with Pydantic validation and evidence-identifier checks added by Sentinel. The assistant may summarize deterministic findings, explain a rule trace or correlation path, answer questions from selected evidence, draft an email for human approval and plan component placement. It cannot create alerts, calculate scores, send mail autonomously, execute code, modify evidence or present an unsupported inference</w:t>
      </w:r>
      <w:r>
        <w:rPr>
          <w:rFonts w:eastAsia="Times New Roman"/>
          <w:sz w:val="22"/>
        </w:rPr>
        <w:t xml:space="preserve"> as fact. Prompts and responses are logged with model, template version and evidence identifiers. The literature recognizes both opportunities and reliability/privacy challenges for LLMs in cybersecurity [6].</w:t>
      </w:r>
    </w:p>
    <w:p w14:paraId="06E746B4" w14:textId="77777777" w:rsidR="00A506C4" w:rsidRDefault="00EC1EE6">
      <w:pPr>
        <w:keepNext/>
        <w:spacing w:before="80" w:after="60"/>
      </w:pPr>
      <w:r>
        <w:rPr>
          <w:rFonts w:eastAsia="Times New Roman"/>
          <w:b/>
          <w:sz w:val="23"/>
        </w:rPr>
        <w:t>6.6. Testing and Evaluation</w:t>
      </w:r>
    </w:p>
    <w:tbl>
      <w:tblPr>
        <w:tblW w:w="96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7416"/>
      </w:tblGrid>
      <w:tr w:rsidR="00A506C4" w14:paraId="70BE8204" w14:textId="77777777">
        <w:trPr>
          <w:cantSplit/>
          <w:tblHeader/>
          <w:jc w:val="center"/>
        </w:trPr>
        <w:tc>
          <w:tcPr>
            <w:tcW w:w="2232" w:type="dxa"/>
            <w:shd w:val="clear" w:color="auto" w:fill="D9D9D9"/>
            <w:tcMar>
              <w:top w:w="90" w:type="dxa"/>
              <w:left w:w="100" w:type="dxa"/>
              <w:bottom w:w="90" w:type="dxa"/>
              <w:right w:w="100" w:type="dxa"/>
            </w:tcMar>
            <w:vAlign w:val="center"/>
          </w:tcPr>
          <w:p w14:paraId="71901BC3" w14:textId="77777777" w:rsidR="00A506C4" w:rsidRDefault="00EC1EE6">
            <w:pPr>
              <w:spacing w:after="0"/>
              <w:jc w:val="center"/>
            </w:pPr>
            <w:r>
              <w:rPr>
                <w:rFonts w:eastAsia="Times New Roman"/>
                <w:b/>
                <w:sz w:val="16"/>
              </w:rPr>
              <w:t>Area</w:t>
            </w:r>
          </w:p>
        </w:tc>
        <w:tc>
          <w:tcPr>
            <w:tcW w:w="7416" w:type="dxa"/>
            <w:shd w:val="clear" w:color="auto" w:fill="D9D9D9"/>
            <w:tcMar>
              <w:top w:w="90" w:type="dxa"/>
              <w:left w:w="100" w:type="dxa"/>
              <w:bottom w:w="90" w:type="dxa"/>
              <w:right w:w="100" w:type="dxa"/>
            </w:tcMar>
            <w:vAlign w:val="center"/>
          </w:tcPr>
          <w:p w14:paraId="408606C5" w14:textId="77777777" w:rsidR="00A506C4" w:rsidRDefault="00EC1EE6">
            <w:pPr>
              <w:spacing w:after="0"/>
              <w:jc w:val="center"/>
            </w:pPr>
            <w:r>
              <w:rPr>
                <w:rFonts w:eastAsia="Times New Roman"/>
                <w:b/>
                <w:sz w:val="16"/>
              </w:rPr>
              <w:t>Method and Measure</w:t>
            </w:r>
          </w:p>
        </w:tc>
      </w:tr>
      <w:tr w:rsidR="00A506C4" w14:paraId="5FCD5F8D" w14:textId="77777777">
        <w:trPr>
          <w:cantSplit/>
          <w:jc w:val="center"/>
        </w:trPr>
        <w:tc>
          <w:tcPr>
            <w:tcW w:w="2232" w:type="dxa"/>
            <w:tcMar>
              <w:top w:w="90" w:type="dxa"/>
              <w:left w:w="100" w:type="dxa"/>
              <w:bottom w:w="90" w:type="dxa"/>
              <w:right w:w="100" w:type="dxa"/>
            </w:tcMar>
            <w:vAlign w:val="center"/>
          </w:tcPr>
          <w:p w14:paraId="578EB41C" w14:textId="77777777" w:rsidR="00A506C4" w:rsidRDefault="00EC1EE6">
            <w:pPr>
              <w:spacing w:after="0" w:line="240" w:lineRule="auto"/>
              <w:jc w:val="center"/>
            </w:pPr>
            <w:r>
              <w:rPr>
                <w:rFonts w:eastAsia="Times New Roman"/>
                <w:sz w:val="16"/>
              </w:rPr>
              <w:t>Normalization</w:t>
            </w:r>
          </w:p>
        </w:tc>
        <w:tc>
          <w:tcPr>
            <w:tcW w:w="7416" w:type="dxa"/>
            <w:tcMar>
              <w:top w:w="90" w:type="dxa"/>
              <w:left w:w="100" w:type="dxa"/>
              <w:bottom w:w="90" w:type="dxa"/>
              <w:right w:w="100" w:type="dxa"/>
            </w:tcMar>
            <w:vAlign w:val="center"/>
          </w:tcPr>
          <w:p w14:paraId="18A07C4D" w14:textId="77777777" w:rsidR="00A506C4" w:rsidRDefault="00EC1EE6">
            <w:pPr>
              <w:spacing w:after="0" w:line="240" w:lineRule="auto"/>
            </w:pPr>
            <w:r>
              <w:rPr>
                <w:rFonts w:eastAsia="Times New Roman"/>
                <w:sz w:val="16"/>
              </w:rPr>
              <w:t>Boundary and malformed fixtures; exact normalized values and explicit rejection reasons.</w:t>
            </w:r>
          </w:p>
        </w:tc>
      </w:tr>
      <w:tr w:rsidR="00A506C4" w14:paraId="514AEEA9" w14:textId="77777777">
        <w:trPr>
          <w:cantSplit/>
          <w:jc w:val="center"/>
        </w:trPr>
        <w:tc>
          <w:tcPr>
            <w:tcW w:w="2232" w:type="dxa"/>
            <w:tcMar>
              <w:top w:w="90" w:type="dxa"/>
              <w:left w:w="100" w:type="dxa"/>
              <w:bottom w:w="90" w:type="dxa"/>
              <w:right w:w="100" w:type="dxa"/>
            </w:tcMar>
            <w:vAlign w:val="center"/>
          </w:tcPr>
          <w:p w14:paraId="64D78C4C" w14:textId="77777777" w:rsidR="00A506C4" w:rsidRDefault="00EC1EE6">
            <w:pPr>
              <w:spacing w:after="0" w:line="240" w:lineRule="auto"/>
              <w:jc w:val="center"/>
            </w:pPr>
            <w:r>
              <w:rPr>
                <w:rFonts w:eastAsia="Times New Roman"/>
                <w:sz w:val="16"/>
              </w:rPr>
              <w:t>Reproducibility</w:t>
            </w:r>
          </w:p>
        </w:tc>
        <w:tc>
          <w:tcPr>
            <w:tcW w:w="7416" w:type="dxa"/>
            <w:tcMar>
              <w:top w:w="90" w:type="dxa"/>
              <w:left w:w="100" w:type="dxa"/>
              <w:bottom w:w="90" w:type="dxa"/>
              <w:right w:w="100" w:type="dxa"/>
            </w:tcMar>
            <w:vAlign w:val="center"/>
          </w:tcPr>
          <w:p w14:paraId="3C2E24EA" w14:textId="77777777" w:rsidR="00A506C4" w:rsidRDefault="00EC1EE6">
            <w:pPr>
              <w:spacing w:after="0" w:line="240" w:lineRule="auto"/>
            </w:pPr>
            <w:r>
              <w:rPr>
                <w:rFonts w:eastAsia="Times New Roman"/>
                <w:sz w:val="16"/>
              </w:rPr>
              <w:t>Repeated golden runs; exact equality of order, scores, correlations, timelines and graph data.</w:t>
            </w:r>
          </w:p>
        </w:tc>
      </w:tr>
      <w:tr w:rsidR="00A506C4" w14:paraId="7435120A" w14:textId="77777777">
        <w:trPr>
          <w:cantSplit/>
          <w:jc w:val="center"/>
        </w:trPr>
        <w:tc>
          <w:tcPr>
            <w:tcW w:w="2232" w:type="dxa"/>
            <w:tcMar>
              <w:top w:w="90" w:type="dxa"/>
              <w:left w:w="100" w:type="dxa"/>
              <w:bottom w:w="90" w:type="dxa"/>
              <w:right w:w="100" w:type="dxa"/>
            </w:tcMar>
            <w:vAlign w:val="center"/>
          </w:tcPr>
          <w:p w14:paraId="42B2B870" w14:textId="77777777" w:rsidR="00A506C4" w:rsidRDefault="00EC1EE6">
            <w:pPr>
              <w:spacing w:after="0" w:line="240" w:lineRule="auto"/>
              <w:jc w:val="center"/>
            </w:pPr>
            <w:r>
              <w:rPr>
                <w:rFonts w:eastAsia="Times New Roman"/>
                <w:sz w:val="16"/>
              </w:rPr>
              <w:t>Detection</w:t>
            </w:r>
          </w:p>
        </w:tc>
        <w:tc>
          <w:tcPr>
            <w:tcW w:w="7416" w:type="dxa"/>
            <w:tcMar>
              <w:top w:w="90" w:type="dxa"/>
              <w:left w:w="100" w:type="dxa"/>
              <w:bottom w:w="90" w:type="dxa"/>
              <w:right w:w="100" w:type="dxa"/>
            </w:tcMar>
            <w:vAlign w:val="center"/>
          </w:tcPr>
          <w:p w14:paraId="5D5A81DE" w14:textId="77777777" w:rsidR="00A506C4" w:rsidRDefault="00EC1EE6">
            <w:pPr>
              <w:spacing w:after="0" w:line="240" w:lineRule="auto"/>
            </w:pPr>
            <w:r>
              <w:rPr>
                <w:rFonts w:eastAsia="Times New Roman"/>
                <w:sz w:val="16"/>
              </w:rPr>
              <w:t>Labeled dataset subsets; precision, recall, F1-score and confusion matrix, with class imbalance reported.</w:t>
            </w:r>
          </w:p>
        </w:tc>
      </w:tr>
      <w:tr w:rsidR="00A506C4" w14:paraId="0473F9F3" w14:textId="77777777">
        <w:trPr>
          <w:cantSplit/>
          <w:jc w:val="center"/>
        </w:trPr>
        <w:tc>
          <w:tcPr>
            <w:tcW w:w="2232" w:type="dxa"/>
            <w:tcMar>
              <w:top w:w="90" w:type="dxa"/>
              <w:left w:w="100" w:type="dxa"/>
              <w:bottom w:w="90" w:type="dxa"/>
              <w:right w:w="100" w:type="dxa"/>
            </w:tcMar>
            <w:vAlign w:val="center"/>
          </w:tcPr>
          <w:p w14:paraId="3301F528" w14:textId="77777777" w:rsidR="00A506C4" w:rsidRDefault="00EC1EE6">
            <w:pPr>
              <w:spacing w:after="0" w:line="240" w:lineRule="auto"/>
              <w:jc w:val="center"/>
            </w:pPr>
            <w:r>
              <w:rPr>
                <w:rFonts w:eastAsia="Times New Roman"/>
                <w:sz w:val="16"/>
              </w:rPr>
              <w:t>Correlation</w:t>
            </w:r>
          </w:p>
        </w:tc>
        <w:tc>
          <w:tcPr>
            <w:tcW w:w="7416" w:type="dxa"/>
            <w:tcMar>
              <w:top w:w="90" w:type="dxa"/>
              <w:left w:w="100" w:type="dxa"/>
              <w:bottom w:w="90" w:type="dxa"/>
              <w:right w:w="100" w:type="dxa"/>
            </w:tcMar>
            <w:vAlign w:val="center"/>
          </w:tcPr>
          <w:p w14:paraId="6D26CC2E" w14:textId="77777777" w:rsidR="00A506C4" w:rsidRDefault="00EC1EE6">
            <w:pPr>
              <w:spacing w:after="0" w:line="240" w:lineRule="auto"/>
            </w:pPr>
            <w:r>
              <w:rPr>
                <w:rFonts w:eastAsia="Times New Roman"/>
                <w:sz w:val="16"/>
              </w:rPr>
              <w:t>Curated multi-device cases; incident grouping, link precision/recall and ordered-event agreement.</w:t>
            </w:r>
          </w:p>
        </w:tc>
      </w:tr>
      <w:tr w:rsidR="00A506C4" w14:paraId="6FD9C13E" w14:textId="77777777">
        <w:trPr>
          <w:cantSplit/>
          <w:jc w:val="center"/>
        </w:trPr>
        <w:tc>
          <w:tcPr>
            <w:tcW w:w="2232" w:type="dxa"/>
            <w:tcMar>
              <w:top w:w="90" w:type="dxa"/>
              <w:left w:w="100" w:type="dxa"/>
              <w:bottom w:w="90" w:type="dxa"/>
              <w:right w:w="100" w:type="dxa"/>
            </w:tcMar>
            <w:vAlign w:val="center"/>
          </w:tcPr>
          <w:p w14:paraId="70488EDB" w14:textId="77777777" w:rsidR="00A506C4" w:rsidRDefault="00EC1EE6">
            <w:pPr>
              <w:spacing w:after="0" w:line="240" w:lineRule="auto"/>
              <w:jc w:val="center"/>
            </w:pPr>
            <w:r>
              <w:rPr>
                <w:rFonts w:eastAsia="Times New Roman"/>
                <w:sz w:val="16"/>
              </w:rPr>
              <w:t>Visualization/AI</w:t>
            </w:r>
          </w:p>
        </w:tc>
        <w:tc>
          <w:tcPr>
            <w:tcW w:w="7416" w:type="dxa"/>
            <w:tcMar>
              <w:top w:w="90" w:type="dxa"/>
              <w:left w:w="100" w:type="dxa"/>
              <w:bottom w:w="90" w:type="dxa"/>
              <w:right w:w="100" w:type="dxa"/>
            </w:tcMar>
            <w:vAlign w:val="center"/>
          </w:tcPr>
          <w:p w14:paraId="2A9D4E83" w14:textId="77777777" w:rsidR="00A506C4" w:rsidRDefault="00EC1EE6">
            <w:pPr>
              <w:spacing w:after="0" w:line="240" w:lineRule="auto"/>
            </w:pPr>
            <w:r>
              <w:rPr>
                <w:rFonts w:eastAsia="Times New Roman"/>
                <w:sz w:val="16"/>
              </w:rPr>
              <w:t>Unknown components, prompt injection, absent evidence and malformed JSON; unsafe output rejected and citations resolved.</w:t>
            </w:r>
          </w:p>
        </w:tc>
      </w:tr>
      <w:tr w:rsidR="00A506C4" w14:paraId="2E5856B2" w14:textId="77777777">
        <w:trPr>
          <w:cantSplit/>
          <w:jc w:val="center"/>
        </w:trPr>
        <w:tc>
          <w:tcPr>
            <w:tcW w:w="2232" w:type="dxa"/>
            <w:tcMar>
              <w:top w:w="90" w:type="dxa"/>
              <w:left w:w="100" w:type="dxa"/>
              <w:bottom w:w="90" w:type="dxa"/>
              <w:right w:w="100" w:type="dxa"/>
            </w:tcMar>
            <w:vAlign w:val="center"/>
          </w:tcPr>
          <w:p w14:paraId="0FD75692" w14:textId="77777777" w:rsidR="00A506C4" w:rsidRDefault="00EC1EE6">
            <w:pPr>
              <w:spacing w:after="0" w:line="240" w:lineRule="auto"/>
              <w:jc w:val="center"/>
            </w:pPr>
            <w:r>
              <w:rPr>
                <w:rFonts w:eastAsia="Times New Roman"/>
                <w:sz w:val="16"/>
              </w:rPr>
              <w:t>Integration/Performance</w:t>
            </w:r>
          </w:p>
        </w:tc>
        <w:tc>
          <w:tcPr>
            <w:tcW w:w="7416" w:type="dxa"/>
            <w:tcMar>
              <w:top w:w="90" w:type="dxa"/>
              <w:left w:w="100" w:type="dxa"/>
              <w:bottom w:w="90" w:type="dxa"/>
              <w:right w:w="100" w:type="dxa"/>
            </w:tcMar>
            <w:vAlign w:val="center"/>
          </w:tcPr>
          <w:p w14:paraId="5320DA02" w14:textId="77777777" w:rsidR="00A506C4" w:rsidRDefault="00EC1EE6">
            <w:pPr>
              <w:spacing w:after="0" w:line="240" w:lineRule="auto"/>
            </w:pPr>
            <w:r>
              <w:rPr>
                <w:rFonts w:eastAsia="Times New Roman"/>
                <w:sz w:val="16"/>
              </w:rPr>
              <w:t>API, persistence, SMTP mock and user tasks; latency, throughput and memory reported with test conditions.</w:t>
            </w:r>
          </w:p>
        </w:tc>
      </w:tr>
    </w:tbl>
    <w:p w14:paraId="0E02A796" w14:textId="77777777" w:rsidR="00A506C4" w:rsidRDefault="00A506C4">
      <w:pPr>
        <w:spacing w:after="20"/>
      </w:pPr>
    </w:p>
    <w:p w14:paraId="16E3CC75" w14:textId="77777777" w:rsidR="00A506C4" w:rsidRDefault="00EC1EE6">
      <w:pPr>
        <w:spacing w:after="100" w:line="269" w:lineRule="auto"/>
        <w:ind w:firstLine="317"/>
        <w:jc w:val="both"/>
      </w:pPr>
      <w:r>
        <w:rPr>
          <w:rFonts w:eastAsia="Times New Roman"/>
          <w:sz w:val="22"/>
        </w:rPr>
        <w:t>Acceptance emphasizes correctness and traceability rather than an exaggerated accuracy claim. Dataset results will be reported as prototype measurements under declared samples, hardware and configuration. A disabled or unavailable Ollama service must leave ingestion, analysis, correlation, timelines, graphs and manual layouts usable.</w:t>
      </w:r>
    </w:p>
    <w:p w14:paraId="3C27695D" w14:textId="77777777" w:rsidR="00A506C4" w:rsidRDefault="00EC1EE6">
      <w:pPr>
        <w:keepNext/>
        <w:spacing w:before="80" w:after="60"/>
      </w:pPr>
      <w:r>
        <w:rPr>
          <w:rFonts w:eastAsia="Times New Roman"/>
          <w:b/>
          <w:sz w:val="23"/>
        </w:rPr>
        <w:t>6.7. Security, Limitations, Future Scope and Conclusion</w:t>
      </w:r>
    </w:p>
    <w:p w14:paraId="4F01EBDA" w14:textId="77777777" w:rsidR="00A506C4" w:rsidRDefault="00EC1EE6">
      <w:pPr>
        <w:spacing w:after="100" w:line="269" w:lineRule="auto"/>
        <w:ind w:firstLine="317"/>
        <w:jc w:val="both"/>
      </w:pPr>
      <w:r>
        <w:rPr>
          <w:rFonts w:eastAsia="Times New Roman"/>
          <w:sz w:val="22"/>
        </w:rPr>
        <w:t>Evidence is processed locally, uploads are size/type checked, paths are normalized, secrets are excluded from model context and case actions are audited. The interface distinguishes deterministic findings from AI narrative and avoids attributing identity or intent solely from an anomaly, IP address or correlation score.</w:t>
      </w:r>
    </w:p>
    <w:p w14:paraId="17C1E696" w14:textId="77777777" w:rsidR="00A506C4" w:rsidRDefault="00EC1EE6">
      <w:pPr>
        <w:spacing w:after="100" w:line="269" w:lineRule="auto"/>
        <w:ind w:firstLine="317"/>
        <w:jc w:val="both"/>
      </w:pPr>
      <w:r>
        <w:rPr>
          <w:rFonts w:eastAsia="Times New Roman"/>
          <w:sz w:val="22"/>
        </w:rPr>
        <w:t xml:space="preserve">The main limitation is reliance on public testbeds and simulations, which cannot reproduce every device, proprietary protocol, clock error, vendor cloud or household context. Future work includes opt-in laboratory collectors, MQTT and gateway sources, clock-drift estimation, richer entity resolution, PostgreSQL, role-based access control, immutable evidence storage, SIEM/SOAR export and controlled user studies. Sentinel concludes as a privacy-conscious academic demonstration of explainable smart-home DFIR: </w:t>
      </w:r>
      <w:r>
        <w:rPr>
          <w:rFonts w:eastAsia="Times New Roman"/>
          <w:sz w:val="22"/>
        </w:rPr>
        <w:t>Python calculates every forensic and visual value, while local AI improves readability only within a bounded, validated role.</w:t>
      </w:r>
    </w:p>
    <w:p w14:paraId="04B7BA8C" w14:textId="77777777" w:rsidR="00A506C4" w:rsidRDefault="00EC1EE6">
      <w:pPr>
        <w:keepNext/>
        <w:spacing w:before="120" w:after="60"/>
      </w:pPr>
      <w:r>
        <w:rPr>
          <w:rFonts w:eastAsia="Times New Roman"/>
          <w:b/>
          <w:sz w:val="26"/>
        </w:rPr>
        <w:t>7. Hardware and Software Requirements</w:t>
      </w:r>
    </w:p>
    <w:p w14:paraId="177C4D3A" w14:textId="77777777" w:rsidR="00A506C4" w:rsidRDefault="00EC1EE6">
      <w:pPr>
        <w:keepNext/>
        <w:spacing w:before="80" w:after="60"/>
      </w:pPr>
      <w:r>
        <w:rPr>
          <w:rFonts w:eastAsia="Times New Roman"/>
          <w:b/>
          <w:sz w:val="23"/>
        </w:rPr>
        <w:t>7.1. Hardware</w:t>
      </w:r>
    </w:p>
    <w:p w14:paraId="16AB5EAC" w14:textId="77777777" w:rsidR="00A506C4" w:rsidRDefault="00EC1EE6">
      <w:pPr>
        <w:pStyle w:val="ListBullet"/>
        <w:spacing w:after="40" w:line="240" w:lineRule="auto"/>
        <w:ind w:left="389" w:hanging="245"/>
      </w:pPr>
      <w:r>
        <w:rPr>
          <w:rFonts w:eastAsia="Times New Roman"/>
          <w:sz w:val="21"/>
        </w:rPr>
        <w:t>64-bit quad-core processor; 16 GB RAM minimum (24-32 GB recommended for local inference).</w:t>
      </w:r>
    </w:p>
    <w:p w14:paraId="475BB397" w14:textId="77777777" w:rsidR="00A506C4" w:rsidRDefault="00EC1EE6">
      <w:pPr>
        <w:pStyle w:val="ListBullet"/>
        <w:spacing w:after="40" w:line="240" w:lineRule="auto"/>
        <w:ind w:left="389" w:hanging="245"/>
      </w:pPr>
      <w:r>
        <w:rPr>
          <w:rFonts w:eastAsia="Times New Roman"/>
          <w:sz w:val="21"/>
        </w:rPr>
        <w:t>30 GB free SSD space; optional supported GPU; stable local network connection.</w:t>
      </w:r>
    </w:p>
    <w:p w14:paraId="24059028" w14:textId="77777777" w:rsidR="00A506C4" w:rsidRDefault="00EC1EE6">
      <w:pPr>
        <w:spacing w:after="100" w:line="269" w:lineRule="auto"/>
        <w:ind w:firstLine="317"/>
        <w:jc w:val="both"/>
      </w:pPr>
      <w:r>
        <w:rPr>
          <w:rFonts w:eastAsia="Times New Roman"/>
          <w:sz w:val="22"/>
        </w:rPr>
        <w:t>The minimum configuration supports development, deterministic dataset analysis and CPU-based model execution on representative samples. Additional memory is recommended because Pandas may hold normalized records and derived tables in memory while Ollama loads the quantized model. A supported GPU improves response time but is not required for correctness; all core forensic modules remain usable when the model is disabled. SSD storage is preferred for dataset imports, SQLite case files, model weights and repo</w:t>
      </w:r>
      <w:r>
        <w:rPr>
          <w:rFonts w:eastAsia="Times New Roman"/>
          <w:sz w:val="22"/>
        </w:rPr>
        <w:t>rt exports.</w:t>
      </w:r>
    </w:p>
    <w:p w14:paraId="04782261" w14:textId="77777777" w:rsidR="00A506C4" w:rsidRDefault="00EC1EE6">
      <w:pPr>
        <w:keepNext/>
        <w:spacing w:before="80" w:after="60"/>
      </w:pPr>
      <w:r>
        <w:rPr>
          <w:rFonts w:eastAsia="Times New Roman"/>
          <w:b/>
          <w:sz w:val="23"/>
        </w:rPr>
        <w:t>7.2. Software</w:t>
      </w:r>
    </w:p>
    <w:p w14:paraId="0FCBA088" w14:textId="77777777" w:rsidR="00A506C4" w:rsidRDefault="00EC1EE6">
      <w:pPr>
        <w:pStyle w:val="ListBullet"/>
        <w:spacing w:after="40" w:line="240" w:lineRule="auto"/>
        <w:ind w:left="389" w:hanging="245"/>
      </w:pPr>
      <w:r>
        <w:rPr>
          <w:rFonts w:eastAsia="Times New Roman"/>
          <w:sz w:val="21"/>
        </w:rPr>
        <w:t>Frontend: React, Vite, Tailwind CSS, shadcn/ui, Recharts and React Flow.</w:t>
      </w:r>
    </w:p>
    <w:p w14:paraId="11DA4B37" w14:textId="77777777" w:rsidR="00A506C4" w:rsidRDefault="00EC1EE6">
      <w:pPr>
        <w:pStyle w:val="ListBullet"/>
        <w:spacing w:after="40" w:line="240" w:lineRule="auto"/>
        <w:ind w:left="389" w:hanging="245"/>
      </w:pPr>
      <w:r>
        <w:rPr>
          <w:rFonts w:eastAsia="Times New Roman"/>
          <w:sz w:val="21"/>
        </w:rPr>
        <w:t>Backend: Python, FastAPI, Pandas, NetworkX and Pydantic.</w:t>
      </w:r>
    </w:p>
    <w:p w14:paraId="7E842D3B" w14:textId="77777777" w:rsidR="00A506C4" w:rsidRDefault="00EC1EE6">
      <w:pPr>
        <w:pStyle w:val="ListBullet"/>
        <w:spacing w:after="40" w:line="240" w:lineRule="auto"/>
        <w:ind w:left="389" w:hanging="245"/>
      </w:pPr>
      <w:r>
        <w:rPr>
          <w:rFonts w:eastAsia="Times New Roman"/>
          <w:sz w:val="21"/>
        </w:rPr>
        <w:t>Database and AI: SQLite, optional future PostgreSQL, Ollama with Qwen 9B Q4_K_M.</w:t>
      </w:r>
    </w:p>
    <w:p w14:paraId="2FC82FBD" w14:textId="77777777" w:rsidR="00A506C4" w:rsidRDefault="00EC1EE6">
      <w:pPr>
        <w:pStyle w:val="ListBullet"/>
        <w:spacing w:after="40" w:line="240" w:lineRule="auto"/>
        <w:ind w:left="389" w:hanging="245"/>
      </w:pPr>
      <w:r>
        <w:rPr>
          <w:rFonts w:eastAsia="Times New Roman"/>
          <w:sz w:val="21"/>
        </w:rPr>
        <w:t>Alerts and development: SMTP, Git, GitHub, Codex, Pytest and a modern browser.</w:t>
      </w:r>
    </w:p>
    <w:p w14:paraId="2DDC3084" w14:textId="77777777" w:rsidR="00A506C4" w:rsidRDefault="00EC1EE6">
      <w:pPr>
        <w:spacing w:after="100" w:line="269" w:lineRule="auto"/>
        <w:ind w:firstLine="317"/>
        <w:jc w:val="both"/>
      </w:pPr>
      <w:r>
        <w:rPr>
          <w:rFonts w:eastAsia="Times New Roman"/>
          <w:sz w:val="22"/>
        </w:rPr>
        <w:t>The frontend is responsible only for presentation and validated user interaction. FastAPI exposes case, evidence, analysis, visualization and assistant endpoints through Pydantic request/response contracts. Pandas performs schema transformation and aggregation, while NetworkX builds the correlation graph and returns calculated nodes, edges and metrics. SQLite is sufficient for a single-user academic prototype; the repository boundary permits future PostgreSQL migration without changing forensic algorithms.</w:t>
      </w:r>
    </w:p>
    <w:p w14:paraId="733DFD09" w14:textId="77777777" w:rsidR="00A506C4" w:rsidRDefault="00EC1EE6">
      <w:pPr>
        <w:spacing w:after="100" w:line="269" w:lineRule="auto"/>
        <w:ind w:firstLine="317"/>
        <w:jc w:val="both"/>
      </w:pPr>
      <w:r>
        <w:rPr>
          <w:rFonts w:eastAsia="Times New Roman"/>
          <w:sz w:val="22"/>
        </w:rPr>
        <w:t>Ollama runs locally and is called through a backend service that supplies bounded evidence context. SMTP credentials are stored outside the source repository and email is sent only after explicit investigator approval. Git and GitHub maintain the project history, automated tests protect deterministic behaviour, and Codex may assist implementation and review without becoming part of the runtime evidence pipeline.</w:t>
      </w:r>
    </w:p>
    <w:p w14:paraId="2C212E3E" w14:textId="77777777" w:rsidR="00A506C4" w:rsidRDefault="00EC1EE6">
      <w:pPr>
        <w:keepNext/>
        <w:spacing w:before="120" w:after="60"/>
      </w:pPr>
      <w:r>
        <w:rPr>
          <w:rFonts w:eastAsia="Times New Roman"/>
          <w:b/>
          <w:sz w:val="26"/>
        </w:rPr>
        <w:t>8. Final Deliverables</w:t>
      </w:r>
    </w:p>
    <w:p w14:paraId="0FF7D0A0" w14:textId="77777777" w:rsidR="00A506C4" w:rsidRDefault="00EC1EE6">
      <w:pPr>
        <w:pStyle w:val="ListBullet"/>
        <w:spacing w:after="40" w:line="240" w:lineRule="auto"/>
        <w:ind w:left="389" w:hanging="245"/>
      </w:pPr>
      <w:r>
        <w:rPr>
          <w:rFonts w:eastAsia="Times New Roman"/>
          <w:sz w:val="21"/>
        </w:rPr>
        <w:t>Documented React/FastAPI source repository and reproducible setup instructions.</w:t>
      </w:r>
    </w:p>
    <w:p w14:paraId="310B4445" w14:textId="77777777" w:rsidR="00A506C4" w:rsidRDefault="00EC1EE6">
      <w:pPr>
        <w:pStyle w:val="ListBullet"/>
        <w:spacing w:after="40" w:line="240" w:lineRule="auto"/>
        <w:ind w:left="389" w:hanging="245"/>
      </w:pPr>
      <w:r>
        <w:rPr>
          <w:rFonts w:eastAsia="Times New Roman"/>
          <w:sz w:val="21"/>
        </w:rPr>
        <w:t>Dataset adapters, normalized-event schema and representative smart-home cases.</w:t>
      </w:r>
    </w:p>
    <w:p w14:paraId="1846E31C" w14:textId="77777777" w:rsidR="00A506C4" w:rsidRDefault="00EC1EE6">
      <w:pPr>
        <w:pStyle w:val="ListBullet"/>
        <w:spacing w:after="40" w:line="240" w:lineRule="auto"/>
        <w:ind w:left="389" w:hanging="245"/>
      </w:pPr>
      <w:r>
        <w:rPr>
          <w:rFonts w:eastAsia="Times New Roman"/>
          <w:sz w:val="21"/>
        </w:rPr>
        <w:t>Deterministic Python detection, scoring, correlation, timeline, chart and graph modules.</w:t>
      </w:r>
    </w:p>
    <w:p w14:paraId="72836D0E" w14:textId="77777777" w:rsidR="00A506C4" w:rsidRDefault="00EC1EE6">
      <w:pPr>
        <w:pStyle w:val="ListBullet"/>
        <w:spacing w:after="40" w:line="240" w:lineRule="auto"/>
        <w:ind w:left="389" w:hanging="245"/>
      </w:pPr>
      <w:r>
        <w:rPr>
          <w:rFonts w:eastAsia="Times New Roman"/>
          <w:sz w:val="21"/>
        </w:rPr>
        <w:t>Dashboard, validated Visualization Engine, local AI assistant, SQLite case history and SMTP support.</w:t>
      </w:r>
    </w:p>
    <w:p w14:paraId="36FBA1A8" w14:textId="77777777" w:rsidR="00A506C4" w:rsidRDefault="00EC1EE6">
      <w:pPr>
        <w:pStyle w:val="ListBullet"/>
        <w:spacing w:after="40" w:line="240" w:lineRule="auto"/>
        <w:ind w:left="389" w:hanging="245"/>
      </w:pPr>
      <w:r>
        <w:rPr>
          <w:rFonts w:eastAsia="Times New Roman"/>
          <w:sz w:val="21"/>
        </w:rPr>
        <w:t>Automated tests, evaluation results, exports and final report documenting limitations and future work.</w:t>
      </w:r>
    </w:p>
    <w:tbl>
      <w:tblPr>
        <w:tblW w:w="943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7200"/>
      </w:tblGrid>
      <w:tr w:rsidR="00A506C4" w14:paraId="097863ED" w14:textId="77777777">
        <w:trPr>
          <w:cantSplit/>
          <w:tblHeader/>
          <w:jc w:val="center"/>
        </w:trPr>
        <w:tc>
          <w:tcPr>
            <w:tcW w:w="2232" w:type="dxa"/>
            <w:shd w:val="clear" w:color="auto" w:fill="D9D9D9"/>
            <w:tcMar>
              <w:top w:w="90" w:type="dxa"/>
              <w:left w:w="100" w:type="dxa"/>
              <w:bottom w:w="90" w:type="dxa"/>
              <w:right w:w="100" w:type="dxa"/>
            </w:tcMar>
            <w:vAlign w:val="center"/>
          </w:tcPr>
          <w:p w14:paraId="6E756F56" w14:textId="77777777" w:rsidR="00A506C4" w:rsidRDefault="00EC1EE6">
            <w:pPr>
              <w:spacing w:after="0"/>
              <w:jc w:val="center"/>
            </w:pPr>
            <w:r>
              <w:rPr>
                <w:rFonts w:eastAsia="Times New Roman"/>
                <w:b/>
                <w:sz w:val="16"/>
              </w:rPr>
              <w:t>Deliverable Area</w:t>
            </w:r>
          </w:p>
        </w:tc>
        <w:tc>
          <w:tcPr>
            <w:tcW w:w="7200" w:type="dxa"/>
            <w:shd w:val="clear" w:color="auto" w:fill="D9D9D9"/>
            <w:tcMar>
              <w:top w:w="90" w:type="dxa"/>
              <w:left w:w="100" w:type="dxa"/>
              <w:bottom w:w="90" w:type="dxa"/>
              <w:right w:w="100" w:type="dxa"/>
            </w:tcMar>
            <w:vAlign w:val="center"/>
          </w:tcPr>
          <w:p w14:paraId="2A3D371F" w14:textId="77777777" w:rsidR="00A506C4" w:rsidRDefault="00EC1EE6">
            <w:pPr>
              <w:spacing w:after="0"/>
              <w:jc w:val="center"/>
            </w:pPr>
            <w:r>
              <w:rPr>
                <w:rFonts w:eastAsia="Times New Roman"/>
                <w:b/>
                <w:sz w:val="16"/>
              </w:rPr>
              <w:t>Acceptance Evidence</w:t>
            </w:r>
          </w:p>
        </w:tc>
      </w:tr>
      <w:tr w:rsidR="00A506C4" w14:paraId="301D3217" w14:textId="77777777">
        <w:trPr>
          <w:cantSplit/>
          <w:jc w:val="center"/>
        </w:trPr>
        <w:tc>
          <w:tcPr>
            <w:tcW w:w="2232" w:type="dxa"/>
            <w:tcMar>
              <w:top w:w="90" w:type="dxa"/>
              <w:left w:w="100" w:type="dxa"/>
              <w:bottom w:w="90" w:type="dxa"/>
              <w:right w:w="100" w:type="dxa"/>
            </w:tcMar>
            <w:vAlign w:val="center"/>
          </w:tcPr>
          <w:p w14:paraId="6A9E2F65" w14:textId="77777777" w:rsidR="00A506C4" w:rsidRDefault="00EC1EE6">
            <w:pPr>
              <w:spacing w:after="0" w:line="240" w:lineRule="auto"/>
              <w:jc w:val="center"/>
            </w:pPr>
            <w:r>
              <w:rPr>
                <w:rFonts w:eastAsia="Times New Roman"/>
                <w:sz w:val="16"/>
              </w:rPr>
              <w:t>Evidence pipeline</w:t>
            </w:r>
          </w:p>
        </w:tc>
        <w:tc>
          <w:tcPr>
            <w:tcW w:w="7200" w:type="dxa"/>
            <w:tcMar>
              <w:top w:w="90" w:type="dxa"/>
              <w:left w:w="100" w:type="dxa"/>
              <w:bottom w:w="90" w:type="dxa"/>
              <w:right w:w="100" w:type="dxa"/>
            </w:tcMar>
            <w:vAlign w:val="center"/>
          </w:tcPr>
          <w:p w14:paraId="518D2DA7" w14:textId="77777777" w:rsidR="00A506C4" w:rsidRDefault="00EC1EE6">
            <w:pPr>
              <w:spacing w:after="0" w:line="240" w:lineRule="auto"/>
            </w:pPr>
            <w:r>
              <w:rPr>
                <w:rFonts w:eastAsia="Times New Roman"/>
                <w:sz w:val="16"/>
              </w:rPr>
              <w:t>Successful import logs, documented field mappings, hashes and canonical-schema validation.</w:t>
            </w:r>
          </w:p>
        </w:tc>
      </w:tr>
      <w:tr w:rsidR="00A506C4" w14:paraId="534FE737" w14:textId="77777777">
        <w:trPr>
          <w:cantSplit/>
          <w:jc w:val="center"/>
        </w:trPr>
        <w:tc>
          <w:tcPr>
            <w:tcW w:w="2232" w:type="dxa"/>
            <w:tcMar>
              <w:top w:w="90" w:type="dxa"/>
              <w:left w:w="100" w:type="dxa"/>
              <w:bottom w:w="90" w:type="dxa"/>
              <w:right w:w="100" w:type="dxa"/>
            </w:tcMar>
            <w:vAlign w:val="center"/>
          </w:tcPr>
          <w:p w14:paraId="6B176EB3" w14:textId="77777777" w:rsidR="00A506C4" w:rsidRDefault="00EC1EE6">
            <w:pPr>
              <w:spacing w:after="0" w:line="240" w:lineRule="auto"/>
              <w:jc w:val="center"/>
            </w:pPr>
            <w:r>
              <w:rPr>
                <w:rFonts w:eastAsia="Times New Roman"/>
                <w:sz w:val="16"/>
              </w:rPr>
              <w:t>Deterministic analytics</w:t>
            </w:r>
          </w:p>
        </w:tc>
        <w:tc>
          <w:tcPr>
            <w:tcW w:w="7200" w:type="dxa"/>
            <w:tcMar>
              <w:top w:w="90" w:type="dxa"/>
              <w:left w:w="100" w:type="dxa"/>
              <w:bottom w:w="90" w:type="dxa"/>
              <w:right w:w="100" w:type="dxa"/>
            </w:tcMar>
            <w:vAlign w:val="center"/>
          </w:tcPr>
          <w:p w14:paraId="7CFEBAC4" w14:textId="77777777" w:rsidR="00A506C4" w:rsidRDefault="00EC1EE6">
            <w:pPr>
              <w:spacing w:after="0" w:line="240" w:lineRule="auto"/>
            </w:pPr>
            <w:r>
              <w:rPr>
                <w:rFonts w:eastAsia="Times New Roman"/>
                <w:sz w:val="16"/>
              </w:rPr>
              <w:t>Golden-case matches for rules, risk factors, graph edges, chart values and ordered timelines.</w:t>
            </w:r>
          </w:p>
        </w:tc>
      </w:tr>
      <w:tr w:rsidR="00A506C4" w14:paraId="71CA00F1" w14:textId="77777777">
        <w:trPr>
          <w:cantSplit/>
          <w:jc w:val="center"/>
        </w:trPr>
        <w:tc>
          <w:tcPr>
            <w:tcW w:w="2232" w:type="dxa"/>
            <w:tcMar>
              <w:top w:w="90" w:type="dxa"/>
              <w:left w:w="100" w:type="dxa"/>
              <w:bottom w:w="90" w:type="dxa"/>
              <w:right w:w="100" w:type="dxa"/>
            </w:tcMar>
            <w:vAlign w:val="center"/>
          </w:tcPr>
          <w:p w14:paraId="3B66061E" w14:textId="77777777" w:rsidR="00A506C4" w:rsidRDefault="00EC1EE6">
            <w:pPr>
              <w:spacing w:after="0" w:line="240" w:lineRule="auto"/>
              <w:jc w:val="center"/>
            </w:pPr>
            <w:r>
              <w:rPr>
                <w:rFonts w:eastAsia="Times New Roman"/>
                <w:sz w:val="16"/>
              </w:rPr>
              <w:t>Visualization and AI</w:t>
            </w:r>
          </w:p>
        </w:tc>
        <w:tc>
          <w:tcPr>
            <w:tcW w:w="7200" w:type="dxa"/>
            <w:tcMar>
              <w:top w:w="90" w:type="dxa"/>
              <w:left w:w="100" w:type="dxa"/>
              <w:bottom w:w="90" w:type="dxa"/>
              <w:right w:w="100" w:type="dxa"/>
            </w:tcMar>
            <w:vAlign w:val="center"/>
          </w:tcPr>
          <w:p w14:paraId="54057E45" w14:textId="77777777" w:rsidR="00A506C4" w:rsidRDefault="00EC1EE6">
            <w:pPr>
              <w:spacing w:after="0" w:line="240" w:lineRule="auto"/>
            </w:pPr>
            <w:r>
              <w:rPr>
                <w:rFonts w:eastAsia="Times New Roman"/>
                <w:sz w:val="16"/>
              </w:rPr>
              <w:t>Allow-listed JSON schema tests, invalid-spec rejection and proof that AI cannot modify computed values.</w:t>
            </w:r>
          </w:p>
        </w:tc>
      </w:tr>
      <w:tr w:rsidR="00A506C4" w14:paraId="732E4960" w14:textId="77777777">
        <w:trPr>
          <w:cantSplit/>
          <w:jc w:val="center"/>
        </w:trPr>
        <w:tc>
          <w:tcPr>
            <w:tcW w:w="2232" w:type="dxa"/>
            <w:tcMar>
              <w:top w:w="90" w:type="dxa"/>
              <w:left w:w="100" w:type="dxa"/>
              <w:bottom w:w="90" w:type="dxa"/>
              <w:right w:w="100" w:type="dxa"/>
            </w:tcMar>
            <w:vAlign w:val="center"/>
          </w:tcPr>
          <w:p w14:paraId="6D93229F" w14:textId="77777777" w:rsidR="00A506C4" w:rsidRDefault="00EC1EE6">
            <w:pPr>
              <w:spacing w:after="0" w:line="240" w:lineRule="auto"/>
              <w:jc w:val="center"/>
            </w:pPr>
            <w:r>
              <w:rPr>
                <w:rFonts w:eastAsia="Times New Roman"/>
                <w:sz w:val="16"/>
              </w:rPr>
              <w:t>Reporting and privacy</w:t>
            </w:r>
          </w:p>
        </w:tc>
        <w:tc>
          <w:tcPr>
            <w:tcW w:w="7200" w:type="dxa"/>
            <w:tcMar>
              <w:top w:w="90" w:type="dxa"/>
              <w:left w:w="100" w:type="dxa"/>
              <w:bottom w:w="90" w:type="dxa"/>
              <w:right w:w="100" w:type="dxa"/>
            </w:tcMar>
            <w:vAlign w:val="center"/>
          </w:tcPr>
          <w:p w14:paraId="40A41E61" w14:textId="77777777" w:rsidR="00A506C4" w:rsidRDefault="00EC1EE6">
            <w:pPr>
              <w:spacing w:after="0" w:line="240" w:lineRule="auto"/>
            </w:pPr>
            <w:r>
              <w:rPr>
                <w:rFonts w:eastAsia="Times New Roman"/>
                <w:sz w:val="16"/>
              </w:rPr>
              <w:t>Auditable exports, investigator-approved email flow, secret handling and local case-data cleanup.</w:t>
            </w:r>
          </w:p>
        </w:tc>
      </w:tr>
    </w:tbl>
    <w:p w14:paraId="51C1D56B" w14:textId="77777777" w:rsidR="00A506C4" w:rsidRDefault="00A506C4">
      <w:pPr>
        <w:spacing w:after="20"/>
      </w:pPr>
    </w:p>
    <w:p w14:paraId="1425594B" w14:textId="77777777" w:rsidR="00A506C4" w:rsidRDefault="00EC1EE6">
      <w:pPr>
        <w:spacing w:after="100" w:line="269" w:lineRule="auto"/>
        <w:ind w:firstLine="317"/>
        <w:jc w:val="both"/>
      </w:pPr>
      <w:r>
        <w:rPr>
          <w:rFonts w:eastAsia="Times New Roman"/>
          <w:sz w:val="22"/>
        </w:rPr>
        <w:t>The submitted implementation package will include sample configuration, database initialization, supported dataset-field mappings and representative simulated cases. Each analytical result will expose the evidence identifiers and configuration version needed to reproduce it. The dashboard will demonstrate a complete investigation path from import and normalization to alerts, risk factors, cross-device links, timeline review and export.</w:t>
      </w:r>
    </w:p>
    <w:p w14:paraId="77DF498A" w14:textId="77777777" w:rsidR="00A506C4" w:rsidRDefault="00EC1EE6">
      <w:pPr>
        <w:spacing w:after="100" w:line="269" w:lineRule="auto"/>
        <w:ind w:firstLine="317"/>
        <w:jc w:val="both"/>
      </w:pPr>
      <w:r>
        <w:rPr>
          <w:rFonts w:eastAsia="Times New Roman"/>
          <w:sz w:val="22"/>
        </w:rPr>
        <w:t>Delivery acceptance will require successful automated tests, schema validation for every API and visualization response, a clean installation walkthrough and repeatable golden-case results. The final report will record dataset selections, test conditions, measured results and known limitations. Source files, documentation and demonstration data will exclude passwords, SMTP secrets, private household telemetry and model-generated claims that are not supported by evidence.</w:t>
      </w:r>
    </w:p>
    <w:p w14:paraId="4C153548" w14:textId="77777777" w:rsidR="00A506C4" w:rsidRDefault="00EC1EE6">
      <w:pPr>
        <w:spacing w:after="100" w:line="269" w:lineRule="auto"/>
        <w:ind w:firstLine="317"/>
        <w:jc w:val="both"/>
      </w:pPr>
      <w:r>
        <w:rPr>
          <w:rFonts w:eastAsia="Times New Roman"/>
          <w:sz w:val="22"/>
        </w:rPr>
        <w:t xml:space="preserve">A demonstration case will accompany the submission to make assessment repeatable. It will contain a controlled sequence of simulated events, the expected normalized records, rule matches, risk-factor breakdown, correlation edges and ordered timeline. Reviewers will therefore be able to compare the dashboard and exported report with fixed expected outputs, inspect provenance links back to source rows and confirm that disabling the language model does not alter any forensic value. A short operator guide will </w:t>
      </w:r>
      <w:r>
        <w:rPr>
          <w:rFonts w:eastAsia="Times New Roman"/>
          <w:sz w:val="22"/>
        </w:rPr>
        <w:t>identify supported inputs, configuration boundaries, privacy safeguards and the procedure for clearing local case data after evaluation.</w:t>
      </w:r>
    </w:p>
    <w:p w14:paraId="64A9F8A0" w14:textId="77777777" w:rsidR="00A506C4" w:rsidRDefault="00EC1EE6">
      <w:pPr>
        <w:spacing w:after="100" w:line="269" w:lineRule="auto"/>
        <w:ind w:firstLine="317"/>
        <w:jc w:val="both"/>
      </w:pPr>
      <w:r>
        <w:rPr>
          <w:rFonts w:eastAsia="Times New Roman"/>
          <w:sz w:val="22"/>
        </w:rPr>
        <w:t xml:space="preserve">The evaluation bundle will also preserve the configuration used for each run: adapter version, rule-set version, baseline window, scoring weights, correlation window, dataset subset and software environment. Where performance figures are reported, the synopsis implementation will distinguish measured import, analysis, query and rendering times from qualitative observations about local-model responsiveness. Screenshots and exports will use pseudonymous device identifiers. Any discrepancy between an expected </w:t>
      </w:r>
      <w:r>
        <w:rPr>
          <w:rFonts w:eastAsia="Times New Roman"/>
          <w:sz w:val="22"/>
        </w:rPr>
        <w:t>and observed golden-case result will be treated as a defect to investigate rather than adjusted through an AI-generated explanation. This traceability makes the prototype suitable for academic review while keeping its claims proportionate to public datasets and simulated incidents.</w:t>
      </w:r>
    </w:p>
    <w:p w14:paraId="67B3FA6C" w14:textId="77777777" w:rsidR="00A506C4" w:rsidRDefault="00EC1EE6">
      <w:r>
        <w:br w:type="page"/>
      </w:r>
    </w:p>
    <w:p w14:paraId="7E9AFB70" w14:textId="77777777" w:rsidR="00A506C4" w:rsidRDefault="00EC1EE6">
      <w:pPr>
        <w:keepNext/>
        <w:spacing w:before="120" w:after="60"/>
      </w:pPr>
      <w:r>
        <w:rPr>
          <w:rFonts w:eastAsia="Times New Roman"/>
          <w:b/>
          <w:sz w:val="26"/>
        </w:rPr>
        <w:t>9. References</w:t>
      </w:r>
    </w:p>
    <w:p w14:paraId="1AAD01B5" w14:textId="77777777" w:rsidR="00A506C4" w:rsidRDefault="00EC1EE6">
      <w:pPr>
        <w:spacing w:after="80" w:line="252" w:lineRule="auto"/>
        <w:ind w:left="374" w:hanging="374"/>
      </w:pPr>
      <w:r>
        <w:rPr>
          <w:rFonts w:eastAsia="Times New Roman"/>
          <w:sz w:val="20"/>
        </w:rPr>
        <w:t>[1] K. Kent, S. Chevalier, T. Grance, and H. Dang, Guide to Integrating Forensic Techniques into Incident Response, NIST SP 800-86, 2006, doi: 10.6028/NIST.SP.800-86.</w:t>
      </w:r>
    </w:p>
    <w:p w14:paraId="7A2746B4" w14:textId="77777777" w:rsidR="00A506C4" w:rsidRDefault="00EC1EE6">
      <w:pPr>
        <w:spacing w:after="80" w:line="252" w:lineRule="auto"/>
        <w:ind w:left="374" w:hanging="374"/>
      </w:pPr>
      <w:r>
        <w:rPr>
          <w:rFonts w:eastAsia="Times New Roman"/>
          <w:sz w:val="20"/>
        </w:rPr>
        <w:t>[2] A. Alsaedi, N. Moustafa, Z. Tari, A. Mahmood, and A. Anwar, "TON_IoT Telemetry Dataset: A New Generation Dataset of IoT and IIoT for Data-Driven Intrusion Detection Systems," IEEE Access, vol. 8, pp. 165130-165150, 2020, doi: 10.1109/ACCESS.2020.3022862.</w:t>
      </w:r>
    </w:p>
    <w:p w14:paraId="4FD0724F" w14:textId="77777777" w:rsidR="00A506C4" w:rsidRDefault="00EC1EE6">
      <w:pPr>
        <w:spacing w:after="80" w:line="252" w:lineRule="auto"/>
        <w:ind w:left="374" w:hanging="374"/>
      </w:pPr>
      <w:r>
        <w:rPr>
          <w:rFonts w:eastAsia="Times New Roman"/>
          <w:sz w:val="20"/>
        </w:rPr>
        <w:t>[3] E. C. P. Neto, S. Dadkhah, R. Ferreira, A. Zohourian, R. Lu, and A. A. Ghorbani, "CICIoT2023: A Real-Time Dataset and Benchmark for Large-Scale Attacks in IoT Environment," Sensors, vol. 23, no. 13, Art. 5941, 2023, doi: 10.3390/s23135941.</w:t>
      </w:r>
    </w:p>
    <w:p w14:paraId="0ABE118D" w14:textId="77777777" w:rsidR="00A506C4" w:rsidRDefault="00EC1EE6">
      <w:pPr>
        <w:spacing w:after="80" w:line="252" w:lineRule="auto"/>
        <w:ind w:left="374" w:hanging="374"/>
      </w:pPr>
      <w:r>
        <w:rPr>
          <w:rFonts w:eastAsia="Times New Roman"/>
          <w:sz w:val="20"/>
        </w:rPr>
        <w:t>[4] A. O. Akinbi, "Digital Forensics Challenges and Readiness for 6G Internet of Things (IoT) Networks," WIREs Forensic Science, vol. 5, no. 6, e1496, 2023, doi: 10.1002/wfs2.1496.</w:t>
      </w:r>
    </w:p>
    <w:p w14:paraId="38B40153" w14:textId="77777777" w:rsidR="00A506C4" w:rsidRDefault="00EC1EE6">
      <w:pPr>
        <w:spacing w:after="80" w:line="252" w:lineRule="auto"/>
        <w:ind w:left="374" w:hanging="374"/>
      </w:pPr>
      <w:r>
        <w:rPr>
          <w:rFonts w:eastAsia="Times New Roman"/>
          <w:sz w:val="20"/>
        </w:rPr>
        <w:t>[5] K. Kent and M. Souppaya, Guide to Computer Security Log Management, NIST SP 800-92, 2006, doi: 10.6028/NIST.SP.800-92.</w:t>
      </w:r>
    </w:p>
    <w:p w14:paraId="6CA3A258" w14:textId="77777777" w:rsidR="00A506C4" w:rsidRDefault="00EC1EE6">
      <w:pPr>
        <w:spacing w:after="80" w:line="252" w:lineRule="auto"/>
        <w:ind w:left="374" w:hanging="374"/>
      </w:pPr>
      <w:r>
        <w:rPr>
          <w:rFonts w:eastAsia="Times New Roman"/>
          <w:sz w:val="20"/>
        </w:rPr>
        <w:t>[6] H. Xu et al., "Large Language Models for Cyber Security: A Systematic Literature Review," CoRR, abs/2405.04760, 2024, doi: 10.48550/arXiv.2405.04760.</w:t>
      </w:r>
    </w:p>
    <w:p w14:paraId="5C97F7F6" w14:textId="77777777" w:rsidR="00A506C4" w:rsidRDefault="00EC1EE6">
      <w:pPr>
        <w:spacing w:after="80" w:line="252" w:lineRule="auto"/>
        <w:ind w:left="374" w:hanging="374"/>
      </w:pPr>
      <w:r>
        <w:rPr>
          <w:rFonts w:eastAsia="Times New Roman"/>
          <w:sz w:val="20"/>
        </w:rPr>
        <w:t>[7] Ollama, "Structured Outputs," Ollama Documentation. [Online]. Available: https://docs.ollama.com/capabilities/structured-outputs. Accessed: Jul. 14, 2026.</w:t>
      </w:r>
    </w:p>
    <w:p w14:paraId="4D108B15" w14:textId="77777777" w:rsidR="00A506C4" w:rsidRDefault="00EC1EE6">
      <w:pPr>
        <w:spacing w:after="80" w:line="252" w:lineRule="auto"/>
        <w:ind w:left="374" w:hanging="374"/>
      </w:pPr>
      <w:r>
        <w:rPr>
          <w:rFonts w:eastAsia="Times New Roman"/>
          <w:sz w:val="20"/>
        </w:rPr>
        <w:t>[8] Microsoft, "Defender for IoT - OT Architecture and Components," Microsoft Learn. [Online]. Available: https://learn.microsoft.com/en-us/azure/defender-for-iot/organizations/architecture. Accessed: Jul. 14, 2026.</w:t>
      </w:r>
    </w:p>
    <w:p w14:paraId="0EB481FE" w14:textId="77777777" w:rsidR="00A506C4" w:rsidRDefault="00EC1EE6">
      <w:pPr>
        <w:spacing w:after="80" w:line="252" w:lineRule="auto"/>
        <w:ind w:left="374" w:hanging="374"/>
      </w:pPr>
      <w:r>
        <w:rPr>
          <w:rFonts w:eastAsia="Times New Roman"/>
          <w:sz w:val="20"/>
        </w:rPr>
        <w:t>[9] Amazon Web Services, "What is AWS IoT Device Defender?" AWS Documentation. [Online]. Available: https://docs.aws.amazon.com/iot-device-defender/latest/devguide/what-is-device-defender.html. Accessed: Jul. 14, 2026.</w:t>
      </w:r>
    </w:p>
    <w:p w14:paraId="3DEBAD30" w14:textId="77777777" w:rsidR="00A506C4" w:rsidRDefault="00EC1EE6">
      <w:pPr>
        <w:spacing w:after="80" w:line="252" w:lineRule="auto"/>
        <w:ind w:left="374" w:hanging="374"/>
      </w:pPr>
      <w:r>
        <w:rPr>
          <w:rFonts w:eastAsia="Times New Roman"/>
          <w:sz w:val="20"/>
        </w:rPr>
        <w:t>[10] Splunk, "Correlation Search Overview for Splunk Enterprise Security," Splunk Documentation. [Online]. Available: https://help.splunk.com/en/splunk-enterprise-security-7/administer/7.3/correlation-searches/correlation-search-overview-for-splunk-enterprise-security. Accessed: Jul. 14, 2026.</w:t>
      </w:r>
    </w:p>
    <w:p w14:paraId="155FE1F5" w14:textId="77777777" w:rsidR="00A506C4" w:rsidRDefault="00EC1EE6">
      <w:pPr>
        <w:spacing w:after="80" w:line="252" w:lineRule="auto"/>
        <w:ind w:left="374" w:hanging="374"/>
      </w:pPr>
      <w:r>
        <w:rPr>
          <w:rFonts w:eastAsia="Times New Roman"/>
          <w:sz w:val="20"/>
        </w:rPr>
        <w:t>[11] IBM, "Custom Rules in IBM QRadar," IBM Documentation. [Online]. Available: https://www.ibm.com/docs/en/qradar-on-cloud?topic=siem-custom-rules. Accessed: Jul. 14, 2026.</w:t>
      </w:r>
    </w:p>
    <w:sectPr w:rsidR="00A506C4" w:rsidSect="00034616">
      <w:headerReference w:type="even" r:id="rId11"/>
      <w:headerReference w:type="default" r:id="rId12"/>
      <w:footerReference w:type="even" r:id="rId13"/>
      <w:footerReference w:type="default" r:id="rId14"/>
      <w:headerReference w:type="first" r:id="rId15"/>
      <w:footerReference w:type="first" r:id="rId16"/>
      <w:pgSz w:w="11909" w:h="16834"/>
      <w:pgMar w:top="1267" w:right="1152" w:bottom="1123" w:left="1224" w:header="720"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70D18" w14:textId="77777777" w:rsidR="00EC1EE6" w:rsidRDefault="00EC1EE6">
      <w:pPr>
        <w:spacing w:after="0" w:line="240" w:lineRule="auto"/>
      </w:pPr>
      <w:r>
        <w:separator/>
      </w:r>
    </w:p>
  </w:endnote>
  <w:endnote w:type="continuationSeparator" w:id="0">
    <w:p w14:paraId="41C5F046" w14:textId="77777777" w:rsidR="00EC1EE6" w:rsidRDefault="00EC1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6B5B" w14:textId="77777777" w:rsidR="00661722" w:rsidRDefault="006617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9A4B" w14:textId="77777777" w:rsidR="00A506C4" w:rsidRDefault="00EC1EE6">
    <w:pPr>
      <w:pStyle w:val="Footer"/>
      <w:jc w:val="center"/>
    </w:pPr>
    <w:r>
      <w:rPr>
        <w:rFonts w:eastAsia="Times New Roman"/>
        <w:sz w:val="20"/>
      </w:rPr>
      <w:t>[</w:t>
    </w:r>
    <w:r>
      <w:fldChar w:fldCharType="begin"/>
    </w:r>
    <w:r>
      <w:instrText xml:space="preserve"> PAGE </w:instrText>
    </w:r>
    <w:r w:rsidR="00661722">
      <w:fldChar w:fldCharType="separate"/>
    </w:r>
    <w:r w:rsidR="00661722">
      <w:rPr>
        <w:noProof/>
      </w:rPr>
      <w:t>0</w:t>
    </w:r>
    <w:r>
      <w:fldChar w:fldCharType="end"/>
    </w:r>
    <w:r>
      <w:rPr>
        <w:rFonts w:eastAsia="Times New Roman"/>
        <w:sz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92E14" w14:textId="77777777" w:rsidR="00661722" w:rsidRDefault="006617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20CB0" w14:textId="77777777" w:rsidR="00EC1EE6" w:rsidRDefault="00EC1EE6">
      <w:pPr>
        <w:spacing w:after="0" w:line="240" w:lineRule="auto"/>
      </w:pPr>
      <w:r>
        <w:separator/>
      </w:r>
    </w:p>
  </w:footnote>
  <w:footnote w:type="continuationSeparator" w:id="0">
    <w:p w14:paraId="3346817E" w14:textId="77777777" w:rsidR="00EC1EE6" w:rsidRDefault="00EC1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4FEE0" w14:textId="77777777" w:rsidR="00661722" w:rsidRDefault="006617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59CF9" w14:textId="77777777" w:rsidR="00661722" w:rsidRDefault="006617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E7101" w14:textId="77777777" w:rsidR="00661722" w:rsidRDefault="006617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043499">
    <w:abstractNumId w:val="8"/>
  </w:num>
  <w:num w:numId="2" w16cid:durableId="1381982003">
    <w:abstractNumId w:val="6"/>
  </w:num>
  <w:num w:numId="3" w16cid:durableId="990250543">
    <w:abstractNumId w:val="5"/>
  </w:num>
  <w:num w:numId="4" w16cid:durableId="1640186511">
    <w:abstractNumId w:val="4"/>
  </w:num>
  <w:num w:numId="5" w16cid:durableId="365445918">
    <w:abstractNumId w:val="7"/>
  </w:num>
  <w:num w:numId="6" w16cid:durableId="2133549164">
    <w:abstractNumId w:val="3"/>
  </w:num>
  <w:num w:numId="7" w16cid:durableId="640774663">
    <w:abstractNumId w:val="2"/>
  </w:num>
  <w:num w:numId="8" w16cid:durableId="281156759">
    <w:abstractNumId w:val="1"/>
  </w:num>
  <w:num w:numId="9" w16cid:durableId="1435053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1722"/>
    <w:rsid w:val="00A506C4"/>
    <w:rsid w:val="00AA1D8D"/>
    <w:rsid w:val="00B47730"/>
    <w:rsid w:val="00CB0664"/>
    <w:rsid w:val="00EC1EE6"/>
    <w:rsid w:val="00FC09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AEABF"/>
  <w14:defaultImageDpi w14:val="300"/>
  <w15:docId w15:val="{8478003D-2F39-44A4-A2B8-BC30D2796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3066</Words>
  <Characters>17478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AI-Assisted Smart Home IoT Digital Forensics and Incident Response Platform</dc:title>
  <dc:subject>Project Synopsis</dc:subject>
  <dc:creator>Atharva Rangnekar; Aarya Rao; Ayra Jha</dc:creator>
  <cp:keywords/>
  <dc:description>generated by python-docx</dc:description>
  <cp:lastModifiedBy>Atharva Rangnekar</cp:lastModifiedBy>
  <cp:revision>2</cp:revision>
  <dcterms:created xsi:type="dcterms:W3CDTF">2013-12-23T23:15:00Z</dcterms:created>
  <dcterms:modified xsi:type="dcterms:W3CDTF">2026-07-14T09:42:00Z</dcterms:modified>
  <cp:category/>
</cp:coreProperties>
</file>