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pPr>
      <w:r>
        <w:rPr>
          <w:rFonts w:ascii="Calibri" w:hAnsi="Calibri"/>
          <w:b/>
          <w:i w:val="0"/>
          <w:color w:val="7A5A00"/>
          <w:sz w:val="19"/>
        </w:rPr>
        <w:t>PRE-LIVE-TEST REVIEW REGISTER</w:t>
      </w:r>
    </w:p>
    <w:p>
      <w:pPr>
        <w:spacing w:after="120"/>
      </w:pPr>
      <w:r>
        <w:rPr>
          <w:rFonts w:ascii="Calibri" w:hAnsi="Calibri"/>
          <w:b/>
          <w:i w:val="0"/>
          <w:color w:val="1F4D78"/>
          <w:sz w:val="56"/>
        </w:rPr>
        <w:t>Pretesting Issues</w:t>
      </w:r>
    </w:p>
    <w:p>
      <w:pPr>
        <w:spacing w:after="280"/>
      </w:pPr>
      <w:r>
        <w:rPr>
          <w:rFonts w:ascii="Calibri" w:hAnsi="Calibri"/>
          <w:b w:val="0"/>
          <w:i w:val="0"/>
          <w:color w:val="666666"/>
          <w:sz w:val="30"/>
        </w:rPr>
        <w:t>Roadmap Steps 3, 4, and 6</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vAlign w:val="center"/>
            <w:shd w:fill="E8EEF5"/>
          </w:tcPr>
          <w:p>
            <w:r>
              <w:rPr>
                <w:rFonts w:ascii="Calibri" w:hAnsi="Calibri"/>
                <w:b/>
                <w:i w:val="0"/>
                <w:color w:val="1F4D78"/>
                <w:sz w:val="19"/>
              </w:rPr>
              <w:t>Document purpose</w:t>
            </w:r>
          </w:p>
        </w:tc>
        <w:tc>
          <w:tcPr>
            <w:tcW w:type="dxa" w:w="7560"/>
            <w:tcMar>
              <w:top w:w="80" w:type="dxa"/>
              <w:start w:w="120" w:type="dxa"/>
              <w:bottom w:w="80" w:type="dxa"/>
              <w:end w:w="120" w:type="dxa"/>
            </w:tcMar>
            <w:vAlign w:val="center"/>
          </w:tcPr>
          <w:p>
            <w:r>
              <w:rPr>
                <w:rFonts w:ascii="Calibri" w:hAnsi="Calibri"/>
                <w:b w:val="0"/>
                <w:i w:val="0"/>
                <w:color w:val="000000"/>
                <w:sz w:val="19"/>
              </w:rPr>
              <w:t>Record issues found during static code review and pre-live verification.</w:t>
            </w:r>
          </w:p>
        </w:tc>
      </w:tr>
      <w:tr>
        <w:tc>
          <w:tcPr>
            <w:tcW w:type="dxa" w:w="1800"/>
            <w:tcMar>
              <w:top w:w="80" w:type="dxa"/>
              <w:start w:w="120" w:type="dxa"/>
              <w:bottom w:w="80" w:type="dxa"/>
              <w:end w:w="120" w:type="dxa"/>
            </w:tcMar>
            <w:vAlign w:val="center"/>
            <w:shd w:fill="E8EEF5"/>
          </w:tcPr>
          <w:p>
            <w:r>
              <w:rPr>
                <w:rFonts w:ascii="Calibri" w:hAnsi="Calibri"/>
                <w:b/>
                <w:i w:val="0"/>
                <w:color w:val="1F4D78"/>
                <w:sz w:val="19"/>
              </w:rPr>
              <w:t>Review date</w:t>
            </w:r>
          </w:p>
        </w:tc>
        <w:tc>
          <w:tcPr>
            <w:tcW w:type="dxa" w:w="7560"/>
            <w:tcMar>
              <w:top w:w="80" w:type="dxa"/>
              <w:start w:w="120" w:type="dxa"/>
              <w:bottom w:w="80" w:type="dxa"/>
              <w:end w:w="120" w:type="dxa"/>
            </w:tcMar>
            <w:vAlign w:val="center"/>
          </w:tcPr>
          <w:p>
            <w:r>
              <w:t>15 August 2026; closure retest 26 August 2026</w:t>
            </w:r>
          </w:p>
        </w:tc>
      </w:tr>
      <w:tr>
        <w:tc>
          <w:tcPr>
            <w:tcW w:type="dxa" w:w="1800"/>
            <w:tcMar>
              <w:top w:w="80" w:type="dxa"/>
              <w:start w:w="120" w:type="dxa"/>
              <w:bottom w:w="80" w:type="dxa"/>
              <w:end w:w="120" w:type="dxa"/>
            </w:tcMar>
            <w:vAlign w:val="center"/>
            <w:shd w:fill="E8EEF5"/>
          </w:tcPr>
          <w:p>
            <w:r>
              <w:rPr>
                <w:rFonts w:ascii="Calibri" w:hAnsi="Calibri"/>
                <w:b/>
                <w:i w:val="0"/>
                <w:color w:val="1F4D78"/>
                <w:sz w:val="19"/>
              </w:rPr>
              <w:t>Lifecycle</w:t>
            </w:r>
          </w:p>
        </w:tc>
        <w:tc>
          <w:tcPr>
            <w:tcW w:type="dxa" w:w="7560"/>
            <w:tcMar>
              <w:top w:w="80" w:type="dxa"/>
              <w:start w:w="120" w:type="dxa"/>
              <w:bottom w:w="80" w:type="dxa"/>
              <w:end w:w="120" w:type="dxa"/>
            </w:tcMar>
            <w:vAlign w:val="center"/>
          </w:tcPr>
          <w:p>
            <w:r>
              <w:t>Closed pre-live register - append live-testing findings as PT-07 onward.</w:t>
            </w:r>
          </w:p>
        </w:tc>
      </w:tr>
    </w:tbl>
    <w:p>
      <w:pPr>
        <w:pStyle w:val="Heading1"/>
      </w:pPr>
      <w:r>
        <w:t>Executive summary</w:t>
      </w:r>
    </w:p>
    <w:p>
      <w:r>
        <w:t>All six pretesting issues are closed as of 26 August 2026. The original findings remain below for traceability, followed by the fix commits and focused retest evidence used for closure. Steps 3, 4, and 6 have completed the pre-live retest gate.</w:t>
      </w:r>
    </w:p>
    <w:tbl>
      <w:tblPr>
        <w:tblStyle w:val="TableGrid"/>
        <w:tblW w:type="dxa" w:w="9360"/>
        <w:jc w:val="left"/>
        <w:tblLayout w:type="fixed"/>
        <w:tblLook w:firstColumn="1" w:firstRow="1" w:lastColumn="0" w:lastRow="0" w:noHBand="0" w:noVBand="1" w:val="04A0"/>
        <w:tblInd w:w="120" w:type="dxa"/>
      </w:tblPr>
      <w:tblGrid>
        <w:gridCol w:w="1200"/>
        <w:gridCol w:w="900"/>
        <w:gridCol w:w="900"/>
        <w:gridCol w:w="4560"/>
        <w:gridCol w:w="1800"/>
      </w:tblGrid>
      <w:tr>
        <w:trPr>
          <w:tblHeader w:val="true"/>
        </w:trPr>
        <w:tc>
          <w:tcPr>
            <w:tcW w:type="dxa" w:w="1200"/>
            <w:shd w:fill="E8EEF5"/>
            <w:tcMar>
              <w:top w:w="80" w:type="dxa"/>
              <w:start w:w="120" w:type="dxa"/>
              <w:bottom w:w="80" w:type="dxa"/>
              <w:end w:w="120" w:type="dxa"/>
            </w:tcMar>
            <w:vAlign w:val="center"/>
          </w:tcPr>
          <w:p>
            <w:r>
              <w:rPr>
                <w:rFonts w:ascii="Calibri" w:hAnsi="Calibri"/>
                <w:b/>
                <w:i w:val="0"/>
                <w:color w:val="1F4D78"/>
                <w:sz w:val="18"/>
              </w:rPr>
              <w:t>ID</w:t>
            </w:r>
          </w:p>
        </w:tc>
        <w:tc>
          <w:tcPr>
            <w:tcW w:type="dxa" w:w="900"/>
            <w:shd w:fill="E8EEF5"/>
            <w:tcMar>
              <w:top w:w="80" w:type="dxa"/>
              <w:start w:w="120" w:type="dxa"/>
              <w:bottom w:w="80" w:type="dxa"/>
              <w:end w:w="120" w:type="dxa"/>
            </w:tcMar>
            <w:vAlign w:val="center"/>
          </w:tcPr>
          <w:p>
            <w:r>
              <w:rPr>
                <w:rFonts w:ascii="Calibri" w:hAnsi="Calibri"/>
                <w:b/>
                <w:i w:val="0"/>
                <w:color w:val="1F4D78"/>
                <w:sz w:val="18"/>
              </w:rPr>
              <w:t>Step</w:t>
            </w:r>
          </w:p>
        </w:tc>
        <w:tc>
          <w:tcPr>
            <w:tcW w:type="dxa" w:w="900"/>
            <w:shd w:fill="E8EEF5"/>
            <w:tcMar>
              <w:top w:w="80" w:type="dxa"/>
              <w:start w:w="120" w:type="dxa"/>
              <w:bottom w:w="80" w:type="dxa"/>
              <w:end w:w="120" w:type="dxa"/>
            </w:tcMar>
            <w:vAlign w:val="center"/>
          </w:tcPr>
          <w:p>
            <w:r>
              <w:rPr>
                <w:rFonts w:ascii="Calibri" w:hAnsi="Calibri"/>
                <w:b/>
                <w:i w:val="0"/>
                <w:color w:val="1F4D78"/>
                <w:sz w:val="18"/>
              </w:rPr>
              <w:t>Severity</w:t>
            </w:r>
          </w:p>
        </w:tc>
        <w:tc>
          <w:tcPr>
            <w:tcW w:type="dxa" w:w="4560"/>
            <w:shd w:fill="E8EEF5"/>
            <w:tcMar>
              <w:top w:w="80" w:type="dxa"/>
              <w:start w:w="120" w:type="dxa"/>
              <w:bottom w:w="80" w:type="dxa"/>
              <w:end w:w="120" w:type="dxa"/>
            </w:tcMar>
            <w:vAlign w:val="center"/>
          </w:tcPr>
          <w:p>
            <w:r>
              <w:rPr>
                <w:rFonts w:ascii="Calibri" w:hAnsi="Calibri"/>
                <w:b/>
                <w:i w:val="0"/>
                <w:color w:val="1F4D78"/>
                <w:sz w:val="18"/>
              </w:rPr>
              <w:t>Issue</w:t>
            </w:r>
          </w:p>
        </w:tc>
        <w:tc>
          <w:tcPr>
            <w:tcW w:type="dxa" w:w="1800"/>
            <w:shd w:fill="E8EEF5"/>
            <w:tcMar>
              <w:top w:w="80" w:type="dxa"/>
              <w:start w:w="120" w:type="dxa"/>
              <w:bottom w:w="80" w:type="dxa"/>
              <w:end w:w="120" w:type="dxa"/>
            </w:tcMar>
            <w:vAlign w:val="center"/>
          </w:tcPr>
          <w:p>
            <w:r>
              <w:rPr>
                <w:rFonts w:ascii="Calibri" w:hAnsi="Calibri"/>
                <w:b/>
                <w:i w:val="0"/>
                <w:color w:val="1F4D78"/>
                <w:sz w:val="18"/>
              </w:rPr>
              <w:t>State</w:t>
            </w:r>
          </w:p>
        </w:tc>
      </w:tr>
      <w:tr>
        <w:tc>
          <w:tcPr>
            <w:tcW w:type="dxa" w:w="1200"/>
            <w:tcMar>
              <w:top w:w="80" w:type="dxa"/>
              <w:start w:w="120" w:type="dxa"/>
              <w:bottom w:w="80" w:type="dxa"/>
              <w:end w:w="120" w:type="dxa"/>
            </w:tcMar>
            <w:vAlign w:val="center"/>
          </w:tcPr>
          <w:p>
            <w:r>
              <w:rPr>
                <w:rFonts w:ascii="Calibri" w:hAnsi="Calibri"/>
                <w:b w:val="0"/>
                <w:i w:val="0"/>
                <w:color w:val="000000"/>
                <w:sz w:val="17"/>
              </w:rPr>
              <w:t>PT-01</w:t>
            </w:r>
          </w:p>
        </w:tc>
        <w:tc>
          <w:tcPr>
            <w:tcW w:type="dxa" w:w="900"/>
            <w:tcMar>
              <w:top w:w="80" w:type="dxa"/>
              <w:start w:w="120" w:type="dxa"/>
              <w:bottom w:w="80" w:type="dxa"/>
              <w:end w:w="120" w:type="dxa"/>
            </w:tcMar>
            <w:vAlign w:val="center"/>
          </w:tcPr>
          <w:p>
            <w:r>
              <w:rPr>
                <w:rFonts w:ascii="Calibri" w:hAnsi="Calibri"/>
                <w:b w:val="0"/>
                <w:i w:val="0"/>
                <w:color w:val="000000"/>
                <w:sz w:val="17"/>
              </w:rPr>
              <w:t>3</w:t>
            </w:r>
          </w:p>
        </w:tc>
        <w:tc>
          <w:tcPr>
            <w:tcW w:type="dxa" w:w="900"/>
            <w:tcMar>
              <w:top w:w="80" w:type="dxa"/>
              <w:start w:w="120" w:type="dxa"/>
              <w:bottom w:w="80" w:type="dxa"/>
              <w:end w:w="120" w:type="dxa"/>
            </w:tcMar>
            <w:vAlign w:val="center"/>
          </w:tcPr>
          <w:p>
            <w:r>
              <w:rPr>
                <w:rFonts w:ascii="Calibri" w:hAnsi="Calibri"/>
                <w:b/>
                <w:i w:val="0"/>
                <w:color w:val="9B1C1C"/>
                <w:sz w:val="17"/>
              </w:rPr>
              <w:t>High</w:t>
            </w:r>
          </w:p>
        </w:tc>
        <w:tc>
          <w:tcPr>
            <w:tcW w:type="dxa" w:w="4560"/>
            <w:tcMar>
              <w:top w:w="80" w:type="dxa"/>
              <w:start w:w="120" w:type="dxa"/>
              <w:bottom w:w="80" w:type="dxa"/>
              <w:end w:w="120" w:type="dxa"/>
            </w:tcMar>
            <w:vAlign w:val="center"/>
          </w:tcPr>
          <w:p>
            <w:r>
              <w:rPr>
                <w:rFonts w:ascii="Calibri" w:hAnsi="Calibri"/>
                <w:b w:val="0"/>
                <w:i w:val="0"/>
                <w:color w:val="000000"/>
                <w:sz w:val="17"/>
              </w:rPr>
              <w:t>Caller-controlled live ingestion timestamp</w:t>
            </w:r>
          </w:p>
        </w:tc>
        <w:tc>
          <w:tcPr>
            <w:tcW w:type="dxa" w:w="1800"/>
            <w:tcMar>
              <w:top w:w="80" w:type="dxa"/>
              <w:start w:w="120" w:type="dxa"/>
              <w:bottom w:w="80" w:type="dxa"/>
              <w:end w:w="120" w:type="dxa"/>
            </w:tcMar>
            <w:vAlign w:val="center"/>
          </w:tcPr>
          <w:p>
            <w:r>
              <w:t>Closed</w:t>
            </w:r>
          </w:p>
        </w:tc>
      </w:tr>
      <w:tr>
        <w:tc>
          <w:tcPr>
            <w:tcW w:type="dxa" w:w="1200"/>
            <w:tcMar>
              <w:top w:w="80" w:type="dxa"/>
              <w:start w:w="120" w:type="dxa"/>
              <w:bottom w:w="80" w:type="dxa"/>
              <w:end w:w="120" w:type="dxa"/>
            </w:tcMar>
            <w:vAlign w:val="center"/>
          </w:tcPr>
          <w:p>
            <w:r>
              <w:rPr>
                <w:rFonts w:ascii="Calibri" w:hAnsi="Calibri"/>
                <w:b w:val="0"/>
                <w:i w:val="0"/>
                <w:color w:val="000000"/>
                <w:sz w:val="17"/>
              </w:rPr>
              <w:t>PT-02</w:t>
            </w:r>
          </w:p>
        </w:tc>
        <w:tc>
          <w:tcPr>
            <w:tcW w:type="dxa" w:w="900"/>
            <w:tcMar>
              <w:top w:w="80" w:type="dxa"/>
              <w:start w:w="120" w:type="dxa"/>
              <w:bottom w:w="80" w:type="dxa"/>
              <w:end w:w="120" w:type="dxa"/>
            </w:tcMar>
            <w:vAlign w:val="center"/>
          </w:tcPr>
          <w:p>
            <w:r>
              <w:rPr>
                <w:rFonts w:ascii="Calibri" w:hAnsi="Calibri"/>
                <w:b w:val="0"/>
                <w:i w:val="0"/>
                <w:color w:val="000000"/>
                <w:sz w:val="17"/>
              </w:rPr>
              <w:t>3/4/6</w:t>
            </w:r>
          </w:p>
        </w:tc>
        <w:tc>
          <w:tcPr>
            <w:tcW w:type="dxa" w:w="900"/>
            <w:tcMar>
              <w:top w:w="80" w:type="dxa"/>
              <w:start w:w="120" w:type="dxa"/>
              <w:bottom w:w="80" w:type="dxa"/>
              <w:end w:w="120" w:type="dxa"/>
            </w:tcMar>
            <w:vAlign w:val="center"/>
          </w:tcPr>
          <w:p>
            <w:r>
              <w:rPr>
                <w:rFonts w:ascii="Calibri" w:hAnsi="Calibri"/>
                <w:b w:val="0"/>
                <w:i w:val="0"/>
                <w:color w:val="000000"/>
                <w:sz w:val="17"/>
              </w:rPr>
              <w:t>Medium</w:t>
            </w:r>
          </w:p>
        </w:tc>
        <w:tc>
          <w:tcPr>
            <w:tcW w:type="dxa" w:w="4560"/>
            <w:tcMar>
              <w:top w:w="80" w:type="dxa"/>
              <w:start w:w="120" w:type="dxa"/>
              <w:bottom w:w="80" w:type="dxa"/>
              <w:end w:w="120" w:type="dxa"/>
            </w:tcMar>
            <w:vAlign w:val="center"/>
          </w:tcPr>
          <w:p>
            <w:r>
              <w:rPr>
                <w:rFonts w:ascii="Calibri" w:hAnsi="Calibri"/>
                <w:b w:val="0"/>
                <w:i w:val="0"/>
                <w:color w:val="000000"/>
                <w:sz w:val="17"/>
              </w:rPr>
              <w:t>Pytest reaches 100% but does not terminate</w:t>
            </w:r>
          </w:p>
        </w:tc>
        <w:tc>
          <w:tcPr>
            <w:tcW w:type="dxa" w:w="1800"/>
            <w:tcMar>
              <w:top w:w="80" w:type="dxa"/>
              <w:start w:w="120" w:type="dxa"/>
              <w:bottom w:w="80" w:type="dxa"/>
              <w:end w:w="120" w:type="dxa"/>
            </w:tcMar>
            <w:vAlign w:val="center"/>
          </w:tcPr>
          <w:p>
            <w:r>
              <w:t>Closed</w:t>
            </w:r>
          </w:p>
        </w:tc>
      </w:tr>
      <w:tr>
        <w:tc>
          <w:tcPr>
            <w:tcW w:type="dxa" w:w="1200"/>
            <w:tcMar>
              <w:top w:w="80" w:type="dxa"/>
              <w:start w:w="120" w:type="dxa"/>
              <w:bottom w:w="80" w:type="dxa"/>
              <w:end w:w="120" w:type="dxa"/>
            </w:tcMar>
            <w:vAlign w:val="center"/>
          </w:tcPr>
          <w:p>
            <w:r>
              <w:rPr>
                <w:rFonts w:ascii="Calibri" w:hAnsi="Calibri"/>
                <w:b w:val="0"/>
                <w:i w:val="0"/>
                <w:color w:val="000000"/>
                <w:sz w:val="17"/>
              </w:rPr>
              <w:t>PT-03</w:t>
            </w:r>
          </w:p>
        </w:tc>
        <w:tc>
          <w:tcPr>
            <w:tcW w:type="dxa" w:w="900"/>
            <w:tcMar>
              <w:top w:w="80" w:type="dxa"/>
              <w:start w:w="120" w:type="dxa"/>
              <w:bottom w:w="80" w:type="dxa"/>
              <w:end w:w="120" w:type="dxa"/>
            </w:tcMar>
            <w:vAlign w:val="center"/>
          </w:tcPr>
          <w:p>
            <w:r>
              <w:rPr>
                <w:rFonts w:ascii="Calibri" w:hAnsi="Calibri"/>
                <w:b w:val="0"/>
                <w:i w:val="0"/>
                <w:color w:val="000000"/>
                <w:sz w:val="17"/>
              </w:rPr>
              <w:t>4</w:t>
            </w:r>
          </w:p>
        </w:tc>
        <w:tc>
          <w:tcPr>
            <w:tcW w:type="dxa" w:w="900"/>
            <w:tcMar>
              <w:top w:w="80" w:type="dxa"/>
              <w:start w:w="120" w:type="dxa"/>
              <w:bottom w:w="80" w:type="dxa"/>
              <w:end w:w="120" w:type="dxa"/>
            </w:tcMar>
            <w:vAlign w:val="center"/>
          </w:tcPr>
          <w:p>
            <w:r>
              <w:rPr>
                <w:rFonts w:ascii="Calibri" w:hAnsi="Calibri"/>
                <w:b/>
                <w:i w:val="0"/>
                <w:color w:val="9B1C1C"/>
                <w:sz w:val="17"/>
              </w:rPr>
              <w:t>High</w:t>
            </w:r>
          </w:p>
        </w:tc>
        <w:tc>
          <w:tcPr>
            <w:tcW w:type="dxa" w:w="4560"/>
            <w:tcMar>
              <w:top w:w="80" w:type="dxa"/>
              <w:start w:w="120" w:type="dxa"/>
              <w:bottom w:w="80" w:type="dxa"/>
              <w:end w:w="120" w:type="dxa"/>
            </w:tcMar>
            <w:vAlign w:val="center"/>
          </w:tcPr>
          <w:p>
            <w:r>
              <w:rPr>
                <w:rFonts w:ascii="Calibri" w:hAnsi="Calibri"/>
                <w:b w:val="0"/>
                <w:i w:val="0"/>
                <w:color w:val="000000"/>
                <w:sz w:val="17"/>
              </w:rPr>
              <w:t>Step 3 batch-validation handoff can be forged</w:t>
            </w:r>
          </w:p>
        </w:tc>
        <w:tc>
          <w:tcPr>
            <w:tcW w:type="dxa" w:w="1800"/>
            <w:tcMar>
              <w:top w:w="80" w:type="dxa"/>
              <w:start w:w="120" w:type="dxa"/>
              <w:bottom w:w="80" w:type="dxa"/>
              <w:end w:w="120" w:type="dxa"/>
            </w:tcMar>
            <w:vAlign w:val="center"/>
          </w:tcPr>
          <w:p>
            <w:r>
              <w:t>Closed</w:t>
            </w:r>
          </w:p>
        </w:tc>
      </w:tr>
      <w:tr>
        <w:tc>
          <w:tcPr>
            <w:tcW w:type="dxa" w:w="1200"/>
            <w:tcMar>
              <w:top w:w="80" w:type="dxa"/>
              <w:start w:w="120" w:type="dxa"/>
              <w:bottom w:w="80" w:type="dxa"/>
              <w:end w:w="120" w:type="dxa"/>
            </w:tcMar>
            <w:vAlign w:val="center"/>
          </w:tcPr>
          <w:p>
            <w:r>
              <w:rPr>
                <w:rFonts w:ascii="Calibri" w:hAnsi="Calibri"/>
                <w:b w:val="0"/>
                <w:i w:val="0"/>
                <w:color w:val="000000"/>
                <w:sz w:val="17"/>
              </w:rPr>
              <w:t>PT-04</w:t>
            </w:r>
          </w:p>
        </w:tc>
        <w:tc>
          <w:tcPr>
            <w:tcW w:type="dxa" w:w="900"/>
            <w:tcMar>
              <w:top w:w="80" w:type="dxa"/>
              <w:start w:w="120" w:type="dxa"/>
              <w:bottom w:w="80" w:type="dxa"/>
              <w:end w:w="120" w:type="dxa"/>
            </w:tcMar>
            <w:vAlign w:val="center"/>
          </w:tcPr>
          <w:p>
            <w:r>
              <w:rPr>
                <w:rFonts w:ascii="Calibri" w:hAnsi="Calibri"/>
                <w:b w:val="0"/>
                <w:i w:val="0"/>
                <w:color w:val="000000"/>
                <w:sz w:val="17"/>
              </w:rPr>
              <w:t>4</w:t>
            </w:r>
          </w:p>
        </w:tc>
        <w:tc>
          <w:tcPr>
            <w:tcW w:type="dxa" w:w="900"/>
            <w:tcMar>
              <w:top w:w="80" w:type="dxa"/>
              <w:start w:w="120" w:type="dxa"/>
              <w:bottom w:w="80" w:type="dxa"/>
              <w:end w:w="120" w:type="dxa"/>
            </w:tcMar>
            <w:vAlign w:val="center"/>
          </w:tcPr>
          <w:p>
            <w:r>
              <w:rPr>
                <w:rFonts w:ascii="Calibri" w:hAnsi="Calibri"/>
                <w:b w:val="0"/>
                <w:i w:val="0"/>
                <w:color w:val="000000"/>
                <w:sz w:val="17"/>
              </w:rPr>
              <w:t>Medium</w:t>
            </w:r>
          </w:p>
        </w:tc>
        <w:tc>
          <w:tcPr>
            <w:tcW w:type="dxa" w:w="4560"/>
            <w:tcMar>
              <w:top w:w="80" w:type="dxa"/>
              <w:start w:w="120" w:type="dxa"/>
              <w:bottom w:w="80" w:type="dxa"/>
              <w:end w:w="120" w:type="dxa"/>
            </w:tcMar>
            <w:vAlign w:val="center"/>
          </w:tcPr>
          <w:p>
            <w:r>
              <w:rPr>
                <w:rFonts w:ascii="Calibri" w:hAnsi="Calibri"/>
                <w:b w:val="0"/>
                <w:i w:val="0"/>
                <w:color w:val="000000"/>
                <w:sz w:val="17"/>
              </w:rPr>
              <w:t>Primary smart-home dataset adapters are missing</w:t>
            </w:r>
          </w:p>
        </w:tc>
        <w:tc>
          <w:tcPr>
            <w:tcW w:type="dxa" w:w="1800"/>
            <w:tcMar>
              <w:top w:w="80" w:type="dxa"/>
              <w:start w:w="120" w:type="dxa"/>
              <w:bottom w:w="80" w:type="dxa"/>
              <w:end w:w="120" w:type="dxa"/>
            </w:tcMar>
            <w:vAlign w:val="center"/>
          </w:tcPr>
          <w:p>
            <w:r>
              <w:t>Closed</w:t>
            </w:r>
          </w:p>
        </w:tc>
      </w:tr>
      <w:tr>
        <w:tc>
          <w:tcPr>
            <w:tcW w:type="dxa" w:w="1200"/>
            <w:tcMar>
              <w:top w:w="80" w:type="dxa"/>
              <w:start w:w="120" w:type="dxa"/>
              <w:bottom w:w="80" w:type="dxa"/>
              <w:end w:w="120" w:type="dxa"/>
            </w:tcMar>
            <w:vAlign w:val="center"/>
          </w:tcPr>
          <w:p>
            <w:r>
              <w:rPr>
                <w:rFonts w:ascii="Calibri" w:hAnsi="Calibri"/>
                <w:b w:val="0"/>
                <w:i w:val="0"/>
                <w:color w:val="000000"/>
                <w:sz w:val="17"/>
              </w:rPr>
              <w:t>PT-05</w:t>
            </w:r>
          </w:p>
        </w:tc>
        <w:tc>
          <w:tcPr>
            <w:tcW w:type="dxa" w:w="900"/>
            <w:tcMar>
              <w:top w:w="80" w:type="dxa"/>
              <w:start w:w="120" w:type="dxa"/>
              <w:bottom w:w="80" w:type="dxa"/>
              <w:end w:w="120" w:type="dxa"/>
            </w:tcMar>
            <w:vAlign w:val="center"/>
          </w:tcPr>
          <w:p>
            <w:r>
              <w:rPr>
                <w:rFonts w:ascii="Calibri" w:hAnsi="Calibri"/>
                <w:b w:val="0"/>
                <w:i w:val="0"/>
                <w:color w:val="000000"/>
                <w:sz w:val="17"/>
              </w:rPr>
              <w:t>6</w:t>
            </w:r>
          </w:p>
        </w:tc>
        <w:tc>
          <w:tcPr>
            <w:tcW w:type="dxa" w:w="900"/>
            <w:tcMar>
              <w:top w:w="80" w:type="dxa"/>
              <w:start w:w="120" w:type="dxa"/>
              <w:bottom w:w="80" w:type="dxa"/>
              <w:end w:w="120" w:type="dxa"/>
            </w:tcMar>
            <w:vAlign w:val="center"/>
          </w:tcPr>
          <w:p>
            <w:r>
              <w:rPr>
                <w:rFonts w:ascii="Calibri" w:hAnsi="Calibri"/>
                <w:b/>
                <w:i w:val="0"/>
                <w:color w:val="9B1C1C"/>
                <w:sz w:val="17"/>
              </w:rPr>
              <w:t>High</w:t>
            </w:r>
          </w:p>
        </w:tc>
        <w:tc>
          <w:tcPr>
            <w:tcW w:type="dxa" w:w="4560"/>
            <w:tcMar>
              <w:top w:w="80" w:type="dxa"/>
              <w:start w:w="120" w:type="dxa"/>
              <w:bottom w:w="80" w:type="dxa"/>
              <w:end w:w="120" w:type="dxa"/>
            </w:tcMar>
            <w:vAlign w:val="center"/>
          </w:tcPr>
          <w:p>
            <w:r>
              <w:rPr>
                <w:rFonts w:ascii="Calibri" w:hAnsi="Calibri"/>
                <w:b w:val="0"/>
                <w:i w:val="0"/>
                <w:color w:val="000000"/>
                <w:sz w:val="17"/>
              </w:rPr>
              <w:t>Missing identities grouped as shared identities</w:t>
            </w:r>
          </w:p>
        </w:tc>
        <w:tc>
          <w:tcPr>
            <w:tcW w:type="dxa" w:w="1800"/>
            <w:tcMar>
              <w:top w:w="80" w:type="dxa"/>
              <w:start w:w="120" w:type="dxa"/>
              <w:bottom w:w="80" w:type="dxa"/>
              <w:end w:w="120" w:type="dxa"/>
            </w:tcMar>
            <w:vAlign w:val="center"/>
          </w:tcPr>
          <w:p>
            <w:r>
              <w:t>Closed</w:t>
            </w:r>
          </w:p>
        </w:tc>
      </w:tr>
      <w:tr>
        <w:tc>
          <w:tcPr>
            <w:tcW w:type="dxa" w:w="1200"/>
            <w:tcMar>
              <w:top w:w="80" w:type="dxa"/>
              <w:start w:w="120" w:type="dxa"/>
              <w:bottom w:w="80" w:type="dxa"/>
              <w:end w:w="120" w:type="dxa"/>
            </w:tcMar>
            <w:vAlign w:val="center"/>
          </w:tcPr>
          <w:p>
            <w:r>
              <w:rPr>
                <w:rFonts w:ascii="Calibri" w:hAnsi="Calibri"/>
                <w:b w:val="0"/>
                <w:i w:val="0"/>
                <w:color w:val="000000"/>
                <w:sz w:val="17"/>
              </w:rPr>
              <w:t>PT-06</w:t>
            </w:r>
          </w:p>
        </w:tc>
        <w:tc>
          <w:tcPr>
            <w:tcW w:type="dxa" w:w="900"/>
            <w:tcMar>
              <w:top w:w="80" w:type="dxa"/>
              <w:start w:w="120" w:type="dxa"/>
              <w:bottom w:w="80" w:type="dxa"/>
              <w:end w:w="120" w:type="dxa"/>
            </w:tcMar>
            <w:vAlign w:val="center"/>
          </w:tcPr>
          <w:p>
            <w:r>
              <w:rPr>
                <w:rFonts w:ascii="Calibri" w:hAnsi="Calibri"/>
                <w:b w:val="0"/>
                <w:i w:val="0"/>
                <w:color w:val="000000"/>
                <w:sz w:val="17"/>
              </w:rPr>
              <w:t>6</w:t>
            </w:r>
          </w:p>
        </w:tc>
        <w:tc>
          <w:tcPr>
            <w:tcW w:type="dxa" w:w="900"/>
            <w:tcMar>
              <w:top w:w="80" w:type="dxa"/>
              <w:start w:w="120" w:type="dxa"/>
              <w:bottom w:w="80" w:type="dxa"/>
              <w:end w:w="120" w:type="dxa"/>
            </w:tcMar>
            <w:vAlign w:val="center"/>
          </w:tcPr>
          <w:p>
            <w:r>
              <w:rPr>
                <w:rFonts w:ascii="Calibri" w:hAnsi="Calibri"/>
                <w:b w:val="0"/>
                <w:i w:val="0"/>
                <w:color w:val="000000"/>
                <w:sz w:val="17"/>
              </w:rPr>
              <w:t>Medium</w:t>
            </w:r>
          </w:p>
        </w:tc>
        <w:tc>
          <w:tcPr>
            <w:tcW w:type="dxa" w:w="4560"/>
            <w:tcMar>
              <w:top w:w="80" w:type="dxa"/>
              <w:start w:w="120" w:type="dxa"/>
              <w:bottom w:w="80" w:type="dxa"/>
              <w:end w:w="120" w:type="dxa"/>
            </w:tcMar>
            <w:vAlign w:val="center"/>
          </w:tcPr>
          <w:p>
            <w:r>
              <w:rPr>
                <w:rFonts w:ascii="Calibri" w:hAnsi="Calibri"/>
                <w:b w:val="0"/>
                <w:i w:val="0"/>
                <w:color w:val="000000"/>
                <w:sz w:val="17"/>
              </w:rPr>
              <w:t>Undocumented repetition threshold changes risk scores</w:t>
            </w:r>
          </w:p>
        </w:tc>
        <w:tc>
          <w:tcPr>
            <w:tcW w:type="dxa" w:w="1800"/>
            <w:tcMar>
              <w:top w:w="80" w:type="dxa"/>
              <w:start w:w="120" w:type="dxa"/>
              <w:bottom w:w="80" w:type="dxa"/>
              <w:end w:w="120" w:type="dxa"/>
            </w:tcMar>
            <w:vAlign w:val="center"/>
          </w:tcPr>
          <w:p>
            <w:r>
              <w:t>Closed</w:t>
            </w:r>
          </w:p>
        </w:tc>
      </w:tr>
    </w:tbl>
    <w:p>
      <w:pPr>
        <w:pStyle w:val="Heading1"/>
      </w:pPr>
      <w:r>
        <w:t>Step 3 - Input Check and Evidence Validation</w:t>
      </w:r>
    </w:p>
    <w:p>
      <w:pPr>
        <w:pStyle w:val="Heading2"/>
        <w:keepNext/>
      </w:pPr>
      <w:r>
        <w:rPr>
          <w:rFonts w:ascii="Calibri" w:hAnsi="Calibri"/>
          <w:b/>
          <w:i w:val="0"/>
          <w:color w:val="2E74B5"/>
          <w:sz w:val="26"/>
        </w:rPr>
        <w:t>PT-01  Caller-controlled live ingestion timestamp</w:t>
      </w:r>
    </w:p>
    <w:p>
      <w:pPr>
        <w:keepNext w:val="0"/>
        <w:spacing w:after="100"/>
      </w:pPr>
      <w:r>
        <w:t>Severity: High    Status: Closed</w:t>
      </w:r>
    </w:p>
    <w:p>
      <w:pPr>
        <w:keepLines/>
        <w:spacing w:after="80" w:line="276" w:lineRule="auto"/>
      </w:pPr>
      <w:r>
        <w:rPr>
          <w:rFonts w:ascii="Calibri" w:hAnsi="Calibri"/>
          <w:b/>
          <w:i w:val="0"/>
          <w:color w:val="1F4D78"/>
          <w:sz w:val="22"/>
        </w:rPr>
        <w:t xml:space="preserve">Finding: </w:t>
      </w:r>
      <w:r>
        <w:rPr>
          <w:rFonts w:ascii="Calibri" w:hAnsi="Calibri"/>
          <w:b w:val="0"/>
          <w:i w:val="0"/>
          <w:color w:val="000000"/>
          <w:sz w:val="22"/>
        </w:rPr>
        <w:t>ValidatedLiveTelemetry creates a UTC ingestion timestamp by default, but a caller may explicitly provide ingested_at. The model accepts historical and timezone-naive values and silently ignores extra fields.</w:t>
      </w:r>
    </w:p>
    <w:p>
      <w:pPr>
        <w:keepLines/>
        <w:spacing w:after="80" w:line="276" w:lineRule="auto"/>
      </w:pPr>
      <w:r>
        <w:rPr>
          <w:rFonts w:ascii="Calibri" w:hAnsi="Calibri"/>
          <w:b/>
          <w:i w:val="0"/>
          <w:color w:val="1F4D78"/>
          <w:sz w:val="22"/>
        </w:rPr>
        <w:t xml:space="preserve">Verification: </w:t>
      </w:r>
      <w:r>
        <w:rPr>
          <w:rFonts w:ascii="Calibri" w:hAnsi="Calibri"/>
          <w:b w:val="0"/>
          <w:i w:val="0"/>
          <w:color w:val="000000"/>
          <w:sz w:val="22"/>
        </w:rPr>
        <w:t>A direct model construction accepted 2000-01-01T00:00:00 with no timezone as the ingestion timestamp.</w:t>
      </w:r>
    </w:p>
    <w:p>
      <w:pPr>
        <w:keepLines/>
        <w:spacing w:after="80" w:line="276" w:lineRule="auto"/>
      </w:pPr>
      <w:r>
        <w:rPr>
          <w:rFonts w:ascii="Calibri" w:hAnsi="Calibri"/>
          <w:b/>
          <w:i w:val="0"/>
          <w:color w:val="1F4D78"/>
          <w:sz w:val="22"/>
        </w:rPr>
        <w:t xml:space="preserve">Impact: </w:t>
      </w:r>
      <w:r>
        <w:rPr>
          <w:rFonts w:ascii="Calibri" w:hAnsi="Calibri"/>
          <w:b w:val="0"/>
          <w:i w:val="0"/>
          <w:color w:val="000000"/>
          <w:sz w:val="22"/>
        </w:rPr>
        <w:t>Forensic ordering and provenance can be falsified before normalization, alerts, incidents, and timelines consume the event.</w:t>
      </w:r>
    </w:p>
    <w:p>
      <w:pPr>
        <w:keepLines/>
        <w:spacing w:after="80" w:line="276" w:lineRule="auto"/>
      </w:pPr>
      <w:r>
        <w:rPr>
          <w:rFonts w:ascii="Calibri" w:hAnsi="Calibri"/>
          <w:b/>
          <w:i w:val="0"/>
          <w:color w:val="1F4D78"/>
          <w:sz w:val="22"/>
        </w:rPr>
        <w:t xml:space="preserve">Recommended action: </w:t>
      </w:r>
      <w:r>
        <w:rPr>
          <w:rFonts w:ascii="Calibri" w:hAnsi="Calibri"/>
          <w:b w:val="0"/>
          <w:i w:val="0"/>
          <w:color w:val="000000"/>
          <w:sz w:val="22"/>
        </w:rPr>
        <w:t>Generate ingested_at only inside a trusted service/factory, forbid unknown fields, reject caller assignment, require UTC, and add forged/naive timestamp tests.</w:t>
      </w:r>
    </w:p>
    <w:p>
      <w:pPr>
        <w:keepLines/>
        <w:spacing w:after="80"/>
      </w:pPr>
      <w:r>
        <w:rPr>
          <w:b/>
        </w:rPr>
        <w:t xml:space="preserve">Closure evidence (26 August 2026): </w:t>
      </w:r>
      <w:r>
        <w:t>Closed. Fix commit: 887b481. Retest evidence: test_live_contract_normalizes_observed_time_and_records_ingestion_time and test_live_acceptance_rejects_caller_controlled_ingestion_fields pass; caller assignment is rejected and the trusted acceptance service records UTC ingestion time.</w:t>
      </w:r>
    </w:p>
    <w:p>
      <w:pPr>
        <w:pStyle w:val="Heading2"/>
        <w:keepNext/>
      </w:pPr>
      <w:r>
        <w:rPr>
          <w:rFonts w:ascii="Calibri" w:hAnsi="Calibri"/>
          <w:b/>
          <w:i w:val="0"/>
          <w:color w:val="2E74B5"/>
          <w:sz w:val="26"/>
        </w:rPr>
        <w:t>PT-02  Test runner does not terminate after completion</w:t>
      </w:r>
    </w:p>
    <w:p>
      <w:pPr>
        <w:keepNext w:val="0"/>
        <w:spacing w:after="100"/>
      </w:pPr>
      <w:r>
        <w:t>Severity: Medium    Status: Closed</w:t>
      </w:r>
    </w:p>
    <w:p>
      <w:pPr>
        <w:keepLines/>
        <w:spacing w:after="80" w:line="276" w:lineRule="auto"/>
      </w:pPr>
      <w:r>
        <w:rPr>
          <w:rFonts w:ascii="Calibri" w:hAnsi="Calibri"/>
          <w:b/>
          <w:i w:val="0"/>
          <w:color w:val="1F4D78"/>
          <w:sz w:val="22"/>
        </w:rPr>
        <w:t xml:space="preserve">Finding: </w:t>
      </w:r>
      <w:r>
        <w:rPr>
          <w:rFonts w:ascii="Calibri" w:hAnsi="Calibri"/>
          <w:b w:val="0"/>
          <w:i w:val="0"/>
          <w:color w:val="000000"/>
          <w:sz w:val="22"/>
        </w:rPr>
        <w:t>Step-specific and full backend pytest runs display 100% completion but remain alive until interrupted.</w:t>
      </w:r>
    </w:p>
    <w:p>
      <w:pPr>
        <w:keepLines/>
        <w:spacing w:after="80" w:line="276" w:lineRule="auto"/>
      </w:pPr>
      <w:r>
        <w:rPr>
          <w:rFonts w:ascii="Calibri" w:hAnsi="Calibri"/>
          <w:b/>
          <w:i w:val="0"/>
          <w:color w:val="1F4D78"/>
          <w:sz w:val="22"/>
        </w:rPr>
        <w:t xml:space="preserve">Verification: </w:t>
      </w:r>
      <w:r>
        <w:rPr>
          <w:rFonts w:ascii="Calibri" w:hAnsi="Calibri"/>
          <w:b w:val="0"/>
          <w:i w:val="0"/>
          <w:color w:val="000000"/>
          <w:sz w:val="22"/>
        </w:rPr>
        <w:t>Observed after 21 Step 3 tests, 12 Step 4 tests, 10 Step 6 tests, and the 47-test backend suite reached 100%.</w:t>
      </w:r>
    </w:p>
    <w:p>
      <w:pPr>
        <w:keepLines/>
        <w:spacing w:after="80" w:line="276" w:lineRule="auto"/>
      </w:pPr>
      <w:r>
        <w:rPr>
          <w:rFonts w:ascii="Calibri" w:hAnsi="Calibri"/>
          <w:b/>
          <w:i w:val="0"/>
          <w:color w:val="1F4D78"/>
          <w:sz w:val="22"/>
        </w:rPr>
        <w:t xml:space="preserve">Impact: </w:t>
      </w:r>
      <w:r>
        <w:rPr>
          <w:rFonts w:ascii="Calibri" w:hAnsi="Calibri"/>
          <w:b w:val="0"/>
          <w:i w:val="0"/>
          <w:color w:val="000000"/>
          <w:sz w:val="22"/>
        </w:rPr>
        <w:t>Automated verification and CI may hang or time out, obscuring otherwise passing assertions and slowing regression feedback.</w:t>
      </w:r>
    </w:p>
    <w:p>
      <w:pPr>
        <w:keepLines/>
        <w:spacing w:after="80" w:line="276" w:lineRule="auto"/>
      </w:pPr>
      <w:r>
        <w:rPr>
          <w:rFonts w:ascii="Calibri" w:hAnsi="Calibri"/>
          <w:b/>
          <w:i w:val="0"/>
          <w:color w:val="1F4D78"/>
          <w:sz w:val="22"/>
        </w:rPr>
        <w:t xml:space="preserve">Recommended action: </w:t>
      </w:r>
      <w:r>
        <w:rPr>
          <w:rFonts w:ascii="Calibri" w:hAnsi="Calibri"/>
          <w:b w:val="0"/>
          <w:i w:val="0"/>
          <w:color w:val="000000"/>
          <w:sz w:val="22"/>
        </w:rPr>
        <w:t>Run pytest with verbose teardown diagnostics, inspect active non-daemon threads/resources, isolate the responsible fixture or plugin, and require a clean zero-code process exit in CI.</w:t>
      </w:r>
    </w:p>
    <w:p>
      <w:pPr>
        <w:keepLines/>
        <w:spacing w:after="80"/>
      </w:pPr>
      <w:r>
        <w:rPr>
          <w:b/>
        </w:rPr>
        <w:t xml:space="preserve">Closure evidence (26 August 2026): </w:t>
      </w:r>
      <w:r>
        <w:t>Closed. Fix commit: 887b481. Retest evidence: the clean pytest wrapper completes the full backend suite within its deadline with exit code 0, while the session-finish guard reports no leaked non-daemon thread.</w:t>
      </w:r>
    </w:p>
    <w:p>
      <w:pPr>
        <w:pStyle w:val="Heading1"/>
      </w:pPr>
      <w:r>
        <w:t>Step 4 - Canonical Event Model and Normalization</w:t>
      </w:r>
    </w:p>
    <w:p>
      <w:pPr>
        <w:pStyle w:val="Heading2"/>
        <w:keepNext/>
      </w:pPr>
      <w:r>
        <w:rPr>
          <w:rFonts w:ascii="Calibri" w:hAnsi="Calibri"/>
          <w:b/>
          <w:i w:val="0"/>
          <w:color w:val="2E74B5"/>
          <w:sz w:val="26"/>
        </w:rPr>
        <w:t>PT-03  Step 3 validation handoff can be forged</w:t>
      </w:r>
    </w:p>
    <w:p>
      <w:pPr>
        <w:keepNext w:val="0"/>
        <w:spacing w:after="100"/>
      </w:pPr>
      <w:r>
        <w:t>Severity: High    Status: Closed</w:t>
      </w:r>
    </w:p>
    <w:p>
      <w:pPr>
        <w:keepLines/>
        <w:spacing w:after="80" w:line="276" w:lineRule="auto"/>
      </w:pPr>
      <w:r>
        <w:rPr>
          <w:rFonts w:ascii="Calibri" w:hAnsi="Calibri"/>
          <w:b/>
          <w:i w:val="0"/>
          <w:color w:val="1F4D78"/>
          <w:sz w:val="22"/>
        </w:rPr>
        <w:t xml:space="preserve">Finding: </w:t>
      </w:r>
      <w:r>
        <w:rPr>
          <w:rFonts w:ascii="Calibri" w:hAnsi="Calibri"/>
          <w:b w:val="0"/>
          <w:i w:val="0"/>
          <w:color w:val="000000"/>
          <w:sz w:val="22"/>
        </w:rPr>
        <w:t>normalize_batch_record checks consistency only between caller-supplied EvidenceMetadata and caller-supplied ValidatedBatchRecord. Because both models and the row hash are publicly constructible, an arbitrary row can bypass Step 3.</w:t>
      </w:r>
    </w:p>
    <w:p>
      <w:pPr>
        <w:keepLines/>
        <w:spacing w:after="80" w:line="276" w:lineRule="auto"/>
      </w:pPr>
      <w:r>
        <w:rPr>
          <w:rFonts w:ascii="Calibri" w:hAnsi="Calibri"/>
          <w:b/>
          <w:i w:val="0"/>
          <w:color w:val="1F4D78"/>
          <w:sz w:val="22"/>
        </w:rPr>
        <w:t xml:space="preserve">Verification: </w:t>
      </w:r>
      <w:r>
        <w:rPr>
          <w:rFonts w:ascii="Calibri" w:hAnsi="Calibri"/>
          <w:b w:val="0"/>
          <w:i w:val="0"/>
          <w:color w:val="000000"/>
          <w:sz w:val="22"/>
        </w:rPr>
        <w:t>A fabricated record, matching fabricated metadata, and self-computed record hash were accepted and normalized with an all-zero source hash.</w:t>
      </w:r>
    </w:p>
    <w:p>
      <w:pPr>
        <w:keepLines/>
        <w:spacing w:after="80" w:line="276" w:lineRule="auto"/>
      </w:pPr>
      <w:r>
        <w:rPr>
          <w:rFonts w:ascii="Calibri" w:hAnsi="Calibri"/>
          <w:b/>
          <w:i w:val="0"/>
          <w:color w:val="1F4D78"/>
          <w:sz w:val="22"/>
        </w:rPr>
        <w:t xml:space="preserve">Impact: </w:t>
      </w:r>
      <w:r>
        <w:rPr>
          <w:rFonts w:ascii="Calibri" w:hAnsi="Calibri"/>
          <w:b w:val="0"/>
          <w:i w:val="0"/>
          <w:color w:val="000000"/>
          <w:sz w:val="22"/>
        </w:rPr>
        <w:t>Unvalidated evidence can enter the canonical pipeline and subsequently influence findings, risk, correlations, incidents, graphs, and alerts.</w:t>
      </w:r>
    </w:p>
    <w:p>
      <w:pPr>
        <w:keepLines/>
        <w:spacing w:after="80" w:line="276" w:lineRule="auto"/>
      </w:pPr>
      <w:r>
        <w:rPr>
          <w:rFonts w:ascii="Calibri" w:hAnsi="Calibri"/>
          <w:b/>
          <w:i w:val="0"/>
          <w:color w:val="1F4D78"/>
          <w:sz w:val="22"/>
        </w:rPr>
        <w:t xml:space="preserve">Recommended action: </w:t>
      </w:r>
      <w:r>
        <w:rPr>
          <w:rFonts w:ascii="Calibri" w:hAnsi="Calibri"/>
          <w:b w:val="0"/>
          <w:i w:val="0"/>
          <w:color w:val="000000"/>
          <w:sz w:val="22"/>
        </w:rPr>
        <w:t>Verify accepted rows against repository-persisted authorization or consume an internally issued/sealed validation outcome. Add a regression test proving a fabricated handoff is rejected.</w:t>
      </w:r>
    </w:p>
    <w:p>
      <w:pPr>
        <w:keepLines/>
        <w:spacing w:after="80"/>
      </w:pPr>
      <w:r>
        <w:rPr>
          <w:b/>
        </w:rPr>
        <w:t xml:space="preserve">Closure evidence (26 August 2026): </w:t>
      </w:r>
      <w:r>
        <w:t>Closed. Fix commit: 887b481. Retest evidence: test_step4_rejects_a_self_hashed_row_without_step3_authorization rejects a forged seal, and test_commit_rejects_evidence_changed_after_validation rejects changed stored bytes before normalization or analysis.</w:t>
      </w:r>
    </w:p>
    <w:p>
      <w:pPr>
        <w:pStyle w:val="Heading2"/>
        <w:keepNext/>
      </w:pPr>
      <w:r>
        <w:rPr>
          <w:rFonts w:ascii="Calibri" w:hAnsi="Calibri"/>
          <w:b/>
          <w:i w:val="0"/>
          <w:color w:val="2E74B5"/>
          <w:sz w:val="26"/>
        </w:rPr>
        <w:t>PT-04  Primary smart-home dataset adapters are not implemented</w:t>
      </w:r>
    </w:p>
    <w:p>
      <w:pPr>
        <w:keepNext w:val="0"/>
        <w:spacing w:after="100"/>
      </w:pPr>
      <w:r>
        <w:t>Severity: Medium    Status: Closed</w:t>
      </w:r>
    </w:p>
    <w:p>
      <w:pPr>
        <w:keepLines/>
        <w:spacing w:after="80" w:line="276" w:lineRule="auto"/>
      </w:pPr>
      <w:r>
        <w:rPr>
          <w:rFonts w:ascii="Calibri" w:hAnsi="Calibri"/>
          <w:b/>
          <w:i w:val="0"/>
          <w:color w:val="1F4D78"/>
          <w:sz w:val="22"/>
        </w:rPr>
        <w:t xml:space="preserve">Finding: </w:t>
      </w:r>
      <w:r>
        <w:rPr>
          <w:rFonts w:ascii="Calibri" w:hAnsi="Calibri"/>
          <w:b w:val="0"/>
          <w:i w:val="0"/>
          <w:color w:val="000000"/>
          <w:sz w:val="22"/>
        </w:rPr>
        <w:t>CASAS smart-home telemetry and TON_IoT smart-device telemetry are now the selected primary public datasets, but neither has a dedicated Step 3 validation profile or Step 4 normalization adapter. The implemented TON_IoT network and CICIoT2023 paths are secondary compatibility adapters.</w:t>
      </w:r>
    </w:p>
    <w:p>
      <w:pPr>
        <w:keepLines/>
        <w:spacing w:after="80" w:line="276" w:lineRule="auto"/>
      </w:pPr>
      <w:r>
        <w:rPr>
          <w:rFonts w:ascii="Calibri" w:hAnsi="Calibri"/>
          <w:b/>
          <w:i w:val="0"/>
          <w:color w:val="1F4D78"/>
          <w:sz w:val="22"/>
        </w:rPr>
        <w:t xml:space="preserve">Verification: </w:t>
      </w:r>
      <w:r>
        <w:rPr>
          <w:rFonts w:ascii="Calibri" w:hAnsi="Calibri"/>
          <w:b w:val="0"/>
          <w:i w:val="0"/>
          <w:color w:val="000000"/>
          <w:sz w:val="22"/>
        </w:rPr>
        <w:t>The evidence source enum, versioned validation profiles, adapters, and fixtures contain simulated, generic, TON_IoT network, and CICIoT2023 network support, but no CASAS or TON_IoT device-telemetry source contract.</w:t>
      </w:r>
    </w:p>
    <w:p>
      <w:pPr>
        <w:keepLines/>
        <w:spacing w:after="80" w:line="276" w:lineRule="auto"/>
      </w:pPr>
      <w:r>
        <w:rPr>
          <w:rFonts w:ascii="Calibri" w:hAnsi="Calibri"/>
          <w:b/>
          <w:i w:val="0"/>
          <w:color w:val="1F4D78"/>
          <w:sz w:val="22"/>
        </w:rPr>
        <w:t xml:space="preserve">Impact: </w:t>
      </w:r>
      <w:r>
        <w:rPr>
          <w:rFonts w:ascii="Calibri" w:hAnsi="Calibri"/>
          <w:b w:val="0"/>
          <w:i w:val="0"/>
          <w:color w:val="000000"/>
          <w:sz w:val="22"/>
        </w:rPr>
        <w:t>Step 4 is incomplete for the selected project scope. Real household activity and smart-device telemetry cannot yet enter the canonical pipeline through an explicit, versioned dataset contract.</w:t>
      </w:r>
    </w:p>
    <w:p>
      <w:pPr>
        <w:keepLines/>
        <w:spacing w:after="80" w:line="276" w:lineRule="auto"/>
      </w:pPr>
      <w:r>
        <w:rPr>
          <w:rFonts w:ascii="Calibri" w:hAnsi="Calibri"/>
          <w:b/>
          <w:i w:val="0"/>
          <w:color w:val="1F4D78"/>
          <w:sz w:val="22"/>
        </w:rPr>
        <w:t xml:space="preserve">Recommended action: </w:t>
      </w:r>
      <w:r>
        <w:rPr>
          <w:rFonts w:ascii="Calibri" w:hAnsi="Calibri"/>
          <w:b w:val="0"/>
          <w:i w:val="0"/>
          <w:color w:val="000000"/>
          <w:sz w:val="22"/>
        </w:rPr>
        <w:t>Pin exact CASAS and TON_IoT telemetry releases/subsets; define versioned profiles, field mappings, provenance rules, and representative fixtures; implement both adapters; and verify benign, anomalous, missing-value, timestamp, identity, and device-state cases.</w:t>
      </w:r>
    </w:p>
    <w:p>
      <w:pPr>
        <w:keepLines/>
        <w:spacing w:after="80"/>
      </w:pPr>
      <w:r>
        <w:rPr>
          <w:b/>
        </w:rPr>
        <w:t xml:space="preserve">Closure evidence (26 August 2026): </w:t>
      </w:r>
      <w:r>
        <w:t>Closed. Fix commits: 887b481 and 5191b7d. Retest evidence: CASAS and TON_IoT validation-profile tests and test_primary_dataset_fixtures_cross_the_step3_step4_boundary pass using the pinned representative fixtures and dedicated adapters.</w:t>
      </w:r>
    </w:p>
    <w:p>
      <w:pPr>
        <w:pStyle w:val="Heading1"/>
      </w:pPr>
      <w:r>
        <w:t>Step 6 - Filtering, Detection, Risk, and Correlation</w:t>
      </w:r>
    </w:p>
    <w:p>
      <w:pPr>
        <w:pStyle w:val="Heading2"/>
        <w:keepNext/>
      </w:pPr>
      <w:r>
        <w:rPr>
          <w:rFonts w:ascii="Calibri" w:hAnsi="Calibri"/>
          <w:b/>
          <w:i w:val="0"/>
          <w:color w:val="2E74B5"/>
          <w:sz w:val="26"/>
        </w:rPr>
        <w:t>PT-05  Missing identities grouped as shared identities</w:t>
      </w:r>
    </w:p>
    <w:p>
      <w:pPr>
        <w:keepNext w:val="0"/>
        <w:spacing w:after="100"/>
      </w:pPr>
      <w:r>
        <w:t>Severity: High    Status: Closed</w:t>
      </w:r>
    </w:p>
    <w:p>
      <w:pPr>
        <w:keepLines/>
        <w:spacing w:after="80" w:line="276" w:lineRule="auto"/>
      </w:pPr>
      <w:r>
        <w:rPr>
          <w:rFonts w:ascii="Calibri" w:hAnsi="Calibri"/>
          <w:b/>
          <w:i w:val="0"/>
          <w:color w:val="1F4D78"/>
          <w:sz w:val="22"/>
        </w:rPr>
        <w:t xml:space="preserve">Finding: </w:t>
      </w:r>
      <w:r>
        <w:rPr>
          <w:rFonts w:ascii="Calibri" w:hAnsi="Calibri"/>
          <w:b w:val="0"/>
          <w:i w:val="0"/>
          <w:color w:val="000000"/>
          <w:sz w:val="22"/>
        </w:rPr>
        <w:t>AUTH-001 substitutes unknown-entity and unknown-actor when identity data is absent, then groups all matching placeholders together as if they were verified identities.</w:t>
      </w:r>
    </w:p>
    <w:p>
      <w:pPr>
        <w:keepLines/>
        <w:spacing w:after="80" w:line="276" w:lineRule="auto"/>
      </w:pPr>
      <w:r>
        <w:rPr>
          <w:rFonts w:ascii="Calibri" w:hAnsi="Calibri"/>
          <w:b/>
          <w:i w:val="0"/>
          <w:color w:val="1F4D78"/>
          <w:sz w:val="22"/>
        </w:rPr>
        <w:t xml:space="preserve">Verification: </w:t>
      </w:r>
      <w:r>
        <w:rPr>
          <w:rFonts w:ascii="Calibri" w:hAnsi="Calibri"/>
          <w:b w:val="0"/>
          <w:i w:val="0"/>
          <w:color w:val="000000"/>
          <w:sz w:val="22"/>
        </w:rPr>
        <w:t>Ten authentication failures for CAM-01 with no actor produced a critical AUTH-001 finding stating they came from unknown-actor. Live variants would create pending alerts.</w:t>
      </w:r>
    </w:p>
    <w:p>
      <w:pPr>
        <w:keepLines/>
        <w:spacing w:after="80" w:line="276" w:lineRule="auto"/>
      </w:pPr>
      <w:r>
        <w:rPr>
          <w:rFonts w:ascii="Calibri" w:hAnsi="Calibri"/>
          <w:b/>
          <w:i w:val="0"/>
          <w:color w:val="1F4D78"/>
          <w:sz w:val="22"/>
        </w:rPr>
        <w:t xml:space="preserve">Impact: </w:t>
      </w:r>
      <w:r>
        <w:rPr>
          <w:rFonts w:ascii="Calibri" w:hAnsi="Calibri"/>
          <w:b w:val="0"/>
          <w:i w:val="0"/>
          <w:color w:val="000000"/>
          <w:sz w:val="22"/>
        </w:rPr>
        <w:t>Unrelated failures can produce false critical findings, inflated risk, incidents, and live alerts.</w:t>
      </w:r>
    </w:p>
    <w:p>
      <w:pPr>
        <w:keepLines/>
        <w:spacing w:after="80" w:line="276" w:lineRule="auto"/>
      </w:pPr>
      <w:r>
        <w:rPr>
          <w:rFonts w:ascii="Calibri" w:hAnsi="Calibri"/>
          <w:b/>
          <w:i w:val="0"/>
          <w:color w:val="1F4D78"/>
          <w:sz w:val="22"/>
        </w:rPr>
        <w:t xml:space="preserve">Recommended action: </w:t>
      </w:r>
      <w:r>
        <w:rPr>
          <w:rFonts w:ascii="Calibri" w:hAnsi="Calibri"/>
          <w:b w:val="0"/>
          <w:i w:val="0"/>
          <w:color w:val="000000"/>
          <w:sz w:val="22"/>
        </w:rPr>
        <w:t>Require both entity and actor identities before applying the same-entity/same-actor rule, or define a provenance-backed grouping policy. Add missing-actor, missing-entity, and mixed-unknown regression tests.</w:t>
      </w:r>
    </w:p>
    <w:p>
      <w:pPr>
        <w:keepLines/>
        <w:spacing w:after="80"/>
      </w:pPr>
      <w:r>
        <w:rPr>
          <w:b/>
        </w:rPr>
        <w:t xml:space="preserve">Closure evidence (26 August 2026): </w:t>
      </w:r>
      <w:r>
        <w:t>Closed. Fix commit: 887b481. Retest evidence: test_authentication_rule_requires_verified_actor_and_target_identities and test_authentication_rule_does_not_combine_distinct_known_actors pass; missing or unrelated identities are not grouped into AUTH-001.</w:t>
      </w:r>
    </w:p>
    <w:p>
      <w:pPr>
        <w:pStyle w:val="Heading2"/>
        <w:keepNext/>
      </w:pPr>
      <w:r>
        <w:rPr>
          <w:rFonts w:ascii="Calibri" w:hAnsi="Calibri"/>
          <w:b/>
          <w:i w:val="0"/>
          <w:color w:val="2E74B5"/>
          <w:sz w:val="26"/>
        </w:rPr>
        <w:t>PT-06  Undocumented repetition threshold changes risk scores</w:t>
      </w:r>
    </w:p>
    <w:p>
      <w:pPr>
        <w:keepNext w:val="0"/>
        <w:spacing w:after="100"/>
      </w:pPr>
      <w:r>
        <w:t>Severity: Medium    Status: Closed</w:t>
      </w:r>
    </w:p>
    <w:p>
      <w:pPr>
        <w:keepLines/>
        <w:spacing w:after="80" w:line="276" w:lineRule="auto"/>
      </w:pPr>
      <w:r>
        <w:rPr>
          <w:rFonts w:ascii="Calibri" w:hAnsi="Calibri"/>
          <w:b/>
          <w:i w:val="0"/>
          <w:color w:val="1F4D78"/>
          <w:sz w:val="22"/>
        </w:rPr>
        <w:t xml:space="preserve">Finding: </w:t>
      </w:r>
      <w:r>
        <w:rPr>
          <w:rFonts w:ascii="Calibri" w:hAnsi="Calibri"/>
          <w:b w:val="0"/>
          <w:i w:val="0"/>
          <w:color w:val="000000"/>
          <w:sz w:val="22"/>
        </w:rPr>
        <w:t>DetectionCandidate defaults repetition_threshold to 4. LABEL-001 and RATE-001 therefore receive a repetition factor of 25 for one event even though no threshold of four exists in the versioned configuration or contract.</w:t>
      </w:r>
    </w:p>
    <w:p>
      <w:pPr>
        <w:keepLines/>
        <w:spacing w:after="80" w:line="276" w:lineRule="auto"/>
      </w:pPr>
      <w:r>
        <w:rPr>
          <w:rFonts w:ascii="Calibri" w:hAnsi="Calibri"/>
          <w:b/>
          <w:i w:val="0"/>
          <w:color w:val="1F4D78"/>
          <w:sz w:val="22"/>
        </w:rPr>
        <w:t xml:space="preserve">Verification: </w:t>
      </w:r>
      <w:r>
        <w:rPr>
          <w:rFonts w:ascii="Calibri" w:hAnsi="Calibri"/>
          <w:b w:val="0"/>
          <w:i w:val="0"/>
          <w:color w:val="000000"/>
          <w:sz w:val="22"/>
        </w:rPr>
        <w:t>A single malicious-label finding scored repetition as 1 occurrence against threshold 4 and produced a final risk score of 59.</w:t>
      </w:r>
    </w:p>
    <w:p>
      <w:pPr>
        <w:keepLines/>
        <w:spacing w:after="80" w:line="276" w:lineRule="auto"/>
      </w:pPr>
      <w:r>
        <w:rPr>
          <w:rFonts w:ascii="Calibri" w:hAnsi="Calibri"/>
          <w:b/>
          <w:i w:val="0"/>
          <w:color w:val="1F4D78"/>
          <w:sz w:val="22"/>
        </w:rPr>
        <w:t xml:space="preserve">Impact: </w:t>
      </w:r>
      <w:r>
        <w:rPr>
          <w:rFonts w:ascii="Calibri" w:hAnsi="Calibri"/>
          <w:b w:val="0"/>
          <w:i w:val="0"/>
          <w:color w:val="000000"/>
          <w:sz w:val="22"/>
        </w:rPr>
        <w:t>Published risk scores depend on a hidden constant and do not fully reflect the validated configuration returned with the analysis.</w:t>
      </w:r>
    </w:p>
    <w:p>
      <w:pPr>
        <w:keepLines/>
        <w:spacing w:after="80" w:line="276" w:lineRule="auto"/>
      </w:pPr>
      <w:r>
        <w:rPr>
          <w:rFonts w:ascii="Calibri" w:hAnsi="Calibri"/>
          <w:b/>
          <w:i w:val="0"/>
          <w:color w:val="1F4D78"/>
          <w:sz w:val="22"/>
        </w:rPr>
        <w:t xml:space="preserve">Recommended action: </w:t>
      </w:r>
      <w:r>
        <w:rPr>
          <w:rFonts w:ascii="Calibri" w:hAnsi="Calibri"/>
          <w:b w:val="0"/>
          <w:i w:val="0"/>
          <w:color w:val="000000"/>
          <w:sz w:val="22"/>
        </w:rPr>
        <w:t>Define rule-specific repetition semantics, place every threshold in AnalysisConfig, document it in the contract, and add exact factor/score golden assertions.</w:t>
      </w:r>
    </w:p>
    <w:p>
      <w:pPr>
        <w:keepLines/>
        <w:spacing w:after="80"/>
      </w:pPr>
      <w:r>
        <w:rPr>
          <w:b/>
        </w:rPr>
        <w:t xml:space="preserve">Closure evidence (26 August 2026): </w:t>
      </w:r>
      <w:r>
        <w:t>Closed. Fix commit: 887b481. Retest evidence: test_default_label_risk_has_a_versioned_repetition_reference and the bounded risk configuration tests pass; rule-specific repetition references are explicit in AnalysisConfig and the deterministic-analysis contract.</w:t>
      </w:r>
    </w:p>
    <w:p>
      <w:pPr>
        <w:pStyle w:val="Heading1"/>
        <w:keepLines/>
      </w:pPr>
      <w:r>
        <w:rPr>
          <w:i w:val="0"/>
        </w:rPr>
        <w:t>Backend completion checklist (Steps 3, 4, and 6)</w:t>
      </w:r>
    </w:p>
    <w:p>
      <w:pPr>
        <w:keepLines/>
      </w:pPr>
      <w:r>
        <w:rPr>
          <w:i/>
          <w:color w:val="666666"/>
        </w:rPr>
        <w:t>Scope note: This checklist covers backend correctness, orchestration, persistence, and API exposure only. Frontend implementation is intentionally excluded. Some retrieval APIs are formally scheduled under Step 8, but they are listed here where needed to operationalize completed Step 3, 4, or 6 services.</w:t>
      </w:r>
    </w:p>
    <w:p>
      <w:pPr>
        <w:pStyle w:val="Heading2"/>
        <w:keepLines/>
      </w:pPr>
      <w:r>
        <w:rPr>
          <w:i w:val="0"/>
        </w:rPr>
        <w:t>Step 3 remaining backend work</w:t>
      </w:r>
    </w:p>
    <w:p>
      <w:pPr>
        <w:pStyle w:val="ListBullet"/>
        <w:keepLines/>
      </w:pPr>
      <w:r>
        <w:rPr>
          <w:i w:val="0"/>
        </w:rPr>
        <w:t>Fix trusted ingestion time: prevent callers from supplying or backdating ingested_at; generate it at the backend acceptance boundary, normalize it to UTC, and reject unknown fields.</w:t>
      </w:r>
    </w:p>
    <w:p>
      <w:pPr>
        <w:pStyle w:val="ListBullet"/>
        <w:keepLines/>
      </w:pPr>
      <w:r>
        <w:rPr>
          <w:i w:val="0"/>
        </w:rPr>
        <w:t>Define versioned validation profiles for the pinned CASAS smart-home and TON_IoT device-telemetry releases, including required columns, value rules, issue codes, and representative fixtures.</w:t>
      </w:r>
    </w:p>
    <w:p>
      <w:pPr>
        <w:pStyle w:val="ListBullet"/>
        <w:keepLines/>
      </w:pPr>
      <w:r>
        <w:rPr>
          <w:i w:val="0"/>
        </w:rPr>
        <w:t>Expose an evidence intake API that accepts real CSV/JSON uploads, case/source metadata, and returns structured validation reports and accepted-row counts.</w:t>
      </w:r>
    </w:p>
    <w:p>
      <w:pPr>
        <w:pStyle w:val="ListBullet"/>
        <w:keepLines/>
      </w:pPr>
      <w:r>
        <w:rPr>
          <w:i w:val="0"/>
        </w:rPr>
        <w:t>Persist or durably reference the original evidence bytes alongside their SHA-256 metadata so later forensic review can retrieve the authoritative source.</w:t>
      </w:r>
    </w:p>
    <w:p>
      <w:pPr>
        <w:pStyle w:val="ListBullet"/>
        <w:keepLines/>
      </w:pPr>
      <w:r>
        <w:rPr>
          <w:i w:val="0"/>
        </w:rPr>
        <w:t>Add import-status, duplicate, rejection-log, malformed-file, oversized-file, and adversarial timestamp tests through the public backend boundary.</w:t>
      </w:r>
    </w:p>
    <w:p>
      <w:pPr>
        <w:pStyle w:val="Heading2"/>
        <w:keepLines/>
      </w:pPr>
      <w:r>
        <w:rPr>
          <w:i w:val="0"/>
        </w:rPr>
        <w:t>Step 4 remaining backend work</w:t>
      </w:r>
    </w:p>
    <w:p>
      <w:pPr>
        <w:pStyle w:val="ListBullet"/>
        <w:keepLines/>
      </w:pPr>
      <w:r>
        <w:rPr>
          <w:i w:val="0"/>
        </w:rPr>
        <w:t>Implement dedicated CASAS and TON_IoT device-telemetry adapters against pinned releases, including timestamp, device, state/metric, label, attribute, and provenance mappings.</w:t>
      </w:r>
    </w:p>
    <w:p>
      <w:pPr>
        <w:pStyle w:val="ListBullet"/>
        <w:keepLines/>
      </w:pPr>
      <w:r>
        <w:rPr>
          <w:i w:val="0"/>
        </w:rPr>
        <w:t>Make the Step 3-to-Step 4 handoff unforgeable by verifying accepted rows against repository-persisted authorization or an internally issued sealed outcome.</w:t>
      </w:r>
    </w:p>
    <w:p>
      <w:pPr>
        <w:pStyle w:val="ListBullet"/>
        <w:keepLines/>
      </w:pPr>
      <w:r>
        <w:rPr>
          <w:i w:val="0"/>
        </w:rPr>
        <w:t>Add batch orchestration that normalizes every accepted row, retains every rejection/warning, and commits import results transactionally.</w:t>
      </w:r>
    </w:p>
    <w:p>
      <w:pPr>
        <w:pStyle w:val="ListBullet"/>
        <w:keepLines/>
      </w:pPr>
      <w:r>
        <w:rPr>
          <w:i w:val="0"/>
        </w:rPr>
        <w:t>Persist canonical events and their raw-record references so evidence detail, provenance, reanalysis, and historical review use stored authoritative records.</w:t>
      </w:r>
    </w:p>
    <w:p>
      <w:pPr>
        <w:pStyle w:val="ListBullet"/>
        <w:keepLines/>
      </w:pPr>
      <w:r>
        <w:rPr>
          <w:i w:val="0"/>
        </w:rPr>
        <w:t>Expose backend normalization/import operations and canonical-event retrieval with stable pagination and structured failure responses.</w:t>
      </w:r>
    </w:p>
    <w:p>
      <w:pPr>
        <w:pStyle w:val="ListBullet"/>
        <w:keepLines/>
      </w:pPr>
      <w:r>
        <w:rPr>
          <w:i w:val="0"/>
        </w:rPr>
        <w:t>Add release fixtures and golden normalization tests for CASAS, TON_IoT telemetry, simulation, mixed valid/invalid files, field collisions, and tampered handoffs.</w:t>
      </w:r>
    </w:p>
    <w:p>
      <w:pPr>
        <w:pStyle w:val="Heading2"/>
        <w:keepLines/>
      </w:pPr>
      <w:r>
        <w:rPr>
          <w:i w:val="0"/>
        </w:rPr>
        <w:t>Step 6 remaining backend work</w:t>
      </w:r>
    </w:p>
    <w:p>
      <w:pPr>
        <w:pStyle w:val="ListBullet"/>
        <w:keepLines/>
      </w:pPr>
      <w:r>
        <w:rPr>
          <w:i w:val="0"/>
        </w:rPr>
        <w:t>Fix AUTH-001 so events lacking a verified entity or actor are not grouped through shared unknown placeholders; add missing/mixed identity regression tests.</w:t>
      </w:r>
    </w:p>
    <w:p>
      <w:pPr>
        <w:pStyle w:val="ListBullet"/>
        <w:keepLines/>
      </w:pPr>
      <w:r>
        <w:rPr>
          <w:i w:val="0"/>
        </w:rPr>
        <w:t>Replace the undocumented repetition threshold of four with explicit, versioned, rule-specific configuration and exact golden risk-score assertions.</w:t>
      </w:r>
    </w:p>
    <w:p>
      <w:pPr>
        <w:pStyle w:val="ListBullet"/>
        <w:keepLines/>
      </w:pPr>
      <w:r>
        <w:t>Add analysis orchestration over persisted canonical events, including validated filters, the versioned default configuration, idempotent reanalysis, and failure handling. Explicit client-selected analysis configuration is outside this release and is rejected rather than silently ignored.</w:t>
      </w:r>
    </w:p>
    <w:p>
      <w:pPr>
        <w:pStyle w:val="ListBullet"/>
        <w:keepLines/>
      </w:pPr>
      <w:r>
        <w:rPr>
          <w:i w:val="0"/>
        </w:rPr>
        <w:t>Persist analysis runs, baselines, findings, risk factors, correlations, incidents, timelines, graph data, aggregates, and pending alerts with configuration/version references.</w:t>
      </w:r>
    </w:p>
    <w:p>
      <w:pPr>
        <w:pStyle w:val="ListBullet"/>
        <w:keepLines/>
      </w:pPr>
      <w:r>
        <w:rPr>
          <w:i w:val="0"/>
        </w:rPr>
        <w:t>Expose analysis execution and read APIs for findings, alerts, incidents, timelines, graphs, aggregates, supporting evidence, and risk breakdowns.</w:t>
      </w:r>
    </w:p>
    <w:p>
      <w:pPr>
        <w:pStyle w:val="ListBullet"/>
        <w:keepLines/>
      </w:pPr>
      <w:r>
        <w:rPr>
          <w:i w:val="0"/>
        </w:rPr>
        <w:t>Add end-to-end batch/live analysis tests proving identical inputs are reproducible, batch findings do not alert, valid live triggers do alert, and missing observed time is never replaced by ingestion time.</w:t>
      </w:r>
    </w:p>
    <w:p>
      <w:pPr>
        <w:pStyle w:val="Heading2"/>
        <w:keepLines/>
      </w:pPr>
      <w:r>
        <w:rPr>
          <w:i w:val="0"/>
        </w:rPr>
        <w:t>Cross-cutting backend verification</w:t>
      </w:r>
    </w:p>
    <w:p>
      <w:pPr>
        <w:pStyle w:val="ListBullet"/>
        <w:keepLines/>
      </w:pPr>
      <w:r>
        <w:rPr>
          <w:i w:val="0"/>
        </w:rPr>
        <w:t>Resolve the pytest shutdown hang so step-specific and full backend suites exit cleanly with status zero.</w:t>
      </w:r>
    </w:p>
    <w:p>
      <w:pPr>
        <w:pStyle w:val="ListBullet"/>
        <w:keepLines/>
      </w:pPr>
      <w:r>
        <w:rPr>
          <w:i w:val="0"/>
        </w:rPr>
        <w:t>Update CORS and request limits for the required non-GET API operations without widening origins beyond configured frontend hosts.</w:t>
      </w:r>
    </w:p>
    <w:p>
      <w:pPr>
        <w:pStyle w:val="ListBullet"/>
        <w:keepLines/>
      </w:pPr>
      <w:r>
        <w:rPr>
          <w:i w:val="0"/>
        </w:rPr>
        <w:t>Publish an OpenAPI contract and example payloads only after the backend request/response schemas stabilize.</w:t>
      </w:r>
    </w:p>
    <w:p>
      <w:pPr>
        <w:pStyle w:val="Heading1"/>
      </w:pPr>
      <w:r>
        <w:t>Pre-live retest gate</w:t>
      </w:r>
    </w:p>
    <w:p>
      <w:r>
        <w:rPr>
          <w:rFonts w:ascii="Calibri" w:hAnsi="Calibri"/>
          <w:b/>
          <w:i w:val="0"/>
          <w:color w:val="000000"/>
          <w:sz w:val="22"/>
        </w:rPr>
        <w:t>Before live testing begins, the team should require:</w:t>
      </w:r>
    </w:p>
    <w:p>
      <w:pPr>
        <w:pStyle w:val="ListBullet"/>
        <w:keepNext/>
        <w:spacing w:after="80"/>
      </w:pPr>
      <w:r>
        <w:rPr>
          <w:rFonts w:ascii="Calibri" w:hAnsi="Calibri"/>
          <w:b w:val="0"/>
          <w:i w:val="0"/>
          <w:color w:val="000000"/>
          <w:sz w:val="22"/>
        </w:rPr>
        <w:t>PT-01, PT-03, and PT-05 fixed with adversarial regression tests.</w:t>
      </w:r>
    </w:p>
    <w:p>
      <w:pPr>
        <w:pStyle w:val="ListBullet"/>
        <w:keepNext/>
        <w:spacing w:after="80"/>
      </w:pPr>
      <w:r>
        <w:rPr>
          <w:rFonts w:ascii="Calibri" w:hAnsi="Calibri"/>
          <w:b w:val="0"/>
          <w:i w:val="0"/>
          <w:color w:val="000000"/>
          <w:sz w:val="22"/>
        </w:rPr>
        <w:t>PT-06 made explicit in the versioned analysis configuration and golden-score tests.</w:t>
      </w:r>
    </w:p>
    <w:p>
      <w:pPr>
        <w:pStyle w:val="ListBullet"/>
        <w:keepNext/>
        <w:spacing w:after="80"/>
      </w:pPr>
      <w:r>
        <w:rPr>
          <w:rFonts w:ascii="Calibri" w:hAnsi="Calibri"/>
          <w:b w:val="0"/>
          <w:i w:val="0"/>
          <w:color w:val="000000"/>
          <w:sz w:val="22"/>
        </w:rPr>
        <w:t>PT-04 closed by implementing and release-validating the CASAS and TON_IoT telemetry profiles and adapters.</w:t>
      </w:r>
    </w:p>
    <w:p>
      <w:pPr>
        <w:pStyle w:val="ListBullet"/>
        <w:keepNext/>
        <w:spacing w:after="80"/>
      </w:pPr>
      <w:r>
        <w:rPr>
          <w:rFonts w:ascii="Calibri" w:hAnsi="Calibri"/>
          <w:b w:val="0"/>
          <w:i w:val="0"/>
          <w:color w:val="000000"/>
          <w:sz w:val="22"/>
        </w:rPr>
        <w:t>PT-02 resolved so every suite exits cleanly with a zero status.</w:t>
      </w:r>
    </w:p>
    <w:p>
      <w:pPr>
        <w:pStyle w:val="ListBullet"/>
        <w:spacing w:after="80"/>
      </w:pPr>
      <w:r>
        <w:rPr>
          <w:rFonts w:ascii="Calibri" w:hAnsi="Calibri"/>
          <w:b w:val="0"/>
          <w:i w:val="0"/>
          <w:color w:val="000000"/>
          <w:sz w:val="22"/>
        </w:rPr>
        <w:t>A fresh full-suite run and documented evidence for each closed item.</w:t>
      </w:r>
    </w:p>
    <w:p>
      <w:pPr>
        <w:pStyle w:val="Heading1"/>
      </w:pPr>
      <w:r>
        <w:t>Live-testing extension</w:t>
      </w:r>
    </w:p>
    <w:p>
      <w:r>
        <w:rPr>
          <w:rFonts w:ascii="Calibri" w:hAnsi="Calibri"/>
          <w:b/>
          <w:i w:val="0"/>
          <w:color w:val="1F4D78"/>
          <w:sz w:val="22"/>
        </w:rPr>
        <w:t xml:space="preserve">This register is intentionally pre-live. </w:t>
      </w:r>
      <w:r>
        <w:rPr>
          <w:rFonts w:ascii="Calibri" w:hAnsi="Calibri"/>
          <w:b w:val="0"/>
          <w:i w:val="0"/>
          <w:color w:val="000000"/>
          <w:sz w:val="22"/>
        </w:rPr>
        <w:t>During hardware, transport, persistence, streaming, and end-to-end demonstrations, append new issues using IDs PT-07 onward and record the environment, exact payload, expected behavior, observed behavior, logs/evidence, severity, owner, and retest result.</w:t>
      </w:r>
    </w:p>
    <w:sectPr w:rsidR="00FC693F" w:rsidRPr="0006063C" w:rsidSect="00034616">
      <w:headerReference w:type="default" r:id="rId9"/>
      <w:footerReference w:type="default" r:id="rId10"/>
      <w:pgSz w:w="12240" w:h="15840"/>
      <w:pgMar w:top="1224"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 xml:space="preserve">Pretesting Issues  |  Page </w:t>
    </w:r>
    <w:r>
      <w:rPr>
        <w:rFonts w:ascii="Calibri" w:hAnsi="Calibri"/>
        <w:b w:val="0"/>
        <w:i w:val="0"/>
        <w:color w:val="666666"/>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6666"/>
        <w:sz w:val="17"/>
      </w:rPr>
      <w:t>TRACEVEIL  /  TECHNICAL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