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Manrope" w:hAnsi="Manrope" w:cs="Manrope"/>
          <w:b/>
          <w:color w:val="00ACCA"/>
          <w:sz w:val="20"/>
        </w:rPr>
        <w:t>PARECER TRIBUTÁRIO</w:t>
      </w:r>
    </w:p>
    <w:p>
      <w:pPr>
        <w:jc w:val="left"/>
      </w:pPr>
      <w:r>
        <w:rPr>
          <w:rFonts w:ascii="Manrope" w:hAnsi="Manrope" w:cs="Manrope"/>
          <w:b/>
          <w:color w:val="005263"/>
          <w:sz w:val="56"/>
        </w:rPr>
        <w:t>[Título do Parecer]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999999"/>
          <w:sz w:val="28"/>
        </w:rPr>
        <w:t>[Subtítulo descritivo do tema analisado]</w:t>
      </w:r>
    </w:p>
    <w:p>
      <w:pPr>
        <w:pBdr>
          <w:bottom w:val="single" w:sz="12" w:space="1" w:color="00ACCA"/>
        </w:pBdr>
      </w:pPr>
    </w:p>
    <w:p>
      <w:r>
        <w:rPr>
          <w:rFonts w:ascii="Manrope" w:hAnsi="Manrope" w:cs="Manrope"/>
          <w:b/>
          <w:color w:val="005263"/>
          <w:sz w:val="20"/>
        </w:rPr>
        <w:t xml:space="preserve">Cliente: </w:t>
      </w:r>
      <w:r>
        <w:rPr>
          <w:rFonts w:ascii="Manrope" w:hAnsi="Manrope" w:cs="Manrope"/>
          <w:b w:val="0"/>
          <w:color w:val="000000"/>
          <w:sz w:val="20"/>
        </w:rPr>
        <w:t>[Nome do cliente]</w:t>
      </w:r>
    </w:p>
    <w:p>
      <w:r>
        <w:rPr>
          <w:rFonts w:ascii="Manrope" w:hAnsi="Manrope" w:cs="Manrope"/>
          <w:b/>
          <w:color w:val="005263"/>
          <w:sz w:val="20"/>
        </w:rPr>
        <w:t xml:space="preserve">Data: </w:t>
      </w:r>
      <w:r>
        <w:rPr>
          <w:rFonts w:ascii="Manrope" w:hAnsi="Manrope" w:cs="Manrope"/>
          <w:b w:val="0"/>
          <w:color w:val="000000"/>
          <w:sz w:val="20"/>
        </w:rPr>
        <w:t>[DD/MM/AAAA]</w:t>
      </w:r>
    </w:p>
    <w:p>
      <w:r>
        <w:rPr>
          <w:rFonts w:ascii="Manrope" w:hAnsi="Manrope" w:cs="Manrope"/>
          <w:b/>
          <w:color w:val="005263"/>
          <w:sz w:val="20"/>
        </w:rPr>
        <w:t xml:space="preserve">Autor: </w:t>
      </w:r>
      <w:r>
        <w:rPr>
          <w:rFonts w:ascii="Manrope" w:hAnsi="Manrope" w:cs="Manrope"/>
          <w:b w:val="0"/>
          <w:color w:val="000000"/>
          <w:sz w:val="20"/>
        </w:rPr>
        <w:t>Fábio Garcia da Silva  ·  OAB/SP 232.079</w:t>
      </w:r>
    </w:p>
    <w:p>
      <w:r>
        <w:br w:type="page"/>
      </w:r>
    </w:p>
    <w:p>
      <w:pPr>
        <w:jc w:val="left"/>
      </w:pPr>
      <w:r>
        <w:rPr>
          <w:rFonts w:ascii="Manrope" w:hAnsi="Manrope" w:cs="Manrope"/>
          <w:b/>
          <w:color w:val="005263"/>
          <w:sz w:val="36"/>
        </w:rPr>
        <w:t>Sumário Executivo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[Resumo em 3-5 parágrafos contendo: situação fática, normas aplicáveis, conclusão e recomendação prática.]</w:t>
      </w:r>
    </w:p>
    <w:p>
      <w:pPr>
        <w:jc w:val="left"/>
      </w:pPr>
      <w:r>
        <w:rPr>
          <w:rFonts w:ascii="Manrope" w:hAnsi="Manrope" w:cs="Manrope"/>
          <w:b/>
          <w:color w:val="005263"/>
          <w:sz w:val="28"/>
        </w:rPr>
        <w:t>I. Da Consulta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[Conteúdo da seção]</w:t>
      </w:r>
    </w:p>
    <w:p>
      <w:pPr>
        <w:jc w:val="left"/>
      </w:pPr>
      <w:r>
        <w:rPr>
          <w:rFonts w:ascii="Manrope" w:hAnsi="Manrope" w:cs="Manrope"/>
          <w:b/>
          <w:color w:val="005263"/>
          <w:sz w:val="28"/>
        </w:rPr>
        <w:t>II. Dos Fatos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[Conteúdo da seção]</w:t>
      </w:r>
    </w:p>
    <w:p>
      <w:pPr>
        <w:jc w:val="left"/>
      </w:pPr>
      <w:r>
        <w:rPr>
          <w:rFonts w:ascii="Manrope" w:hAnsi="Manrope" w:cs="Manrope"/>
          <w:b/>
          <w:color w:val="005263"/>
          <w:sz w:val="28"/>
        </w:rPr>
        <w:t>III. Do Direito Aplicável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[Conteúdo da seção]</w:t>
      </w:r>
    </w:p>
    <w:p>
      <w:pPr>
        <w:jc w:val="left"/>
      </w:pPr>
      <w:r>
        <w:rPr>
          <w:rFonts w:ascii="Manrope" w:hAnsi="Manrope" w:cs="Manrope"/>
          <w:b/>
          <w:color w:val="005263"/>
          <w:sz w:val="28"/>
        </w:rPr>
        <w:t>IV. Da Análise Doutrinária e Jurisprudencial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[Conteúdo da seção]</w:t>
      </w:r>
    </w:p>
    <w:p>
      <w:pPr>
        <w:jc w:val="left"/>
      </w:pPr>
      <w:r>
        <w:rPr>
          <w:rFonts w:ascii="Manrope" w:hAnsi="Manrope" w:cs="Manrope"/>
          <w:b/>
          <w:color w:val="005263"/>
          <w:sz w:val="28"/>
        </w:rPr>
        <w:t>V. Da Conclusão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[Conteúdo da seção]</w:t>
      </w:r>
    </w:p>
    <w:p>
      <w:pPr>
        <w:jc w:val="left"/>
      </w:pPr>
      <w:r>
        <w:rPr>
          <w:rFonts w:ascii="Manrope" w:hAnsi="Manrope" w:cs="Manrope"/>
          <w:b/>
          <w:color w:val="005263"/>
          <w:sz w:val="28"/>
        </w:rPr>
        <w:t>VI. Recomendações Práticas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[Conteúdo da seção]</w:t>
      </w:r>
    </w:p>
    <w:p/>
    <w:p>
      <w:pPr>
        <w:pBdr>
          <w:bottom w:val="single" w:sz="12" w:space="1" w:color="00ACCA"/>
        </w:pBdr>
      </w:pPr>
    </w:p>
    <w:p>
      <w:pPr>
        <w:jc w:val="right"/>
      </w:pPr>
      <w:r>
        <w:rPr>
          <w:rFonts w:ascii="Manrope" w:hAnsi="Manrope" w:cs="Manrope"/>
          <w:b w:val="0"/>
          <w:color w:val="000000"/>
          <w:sz w:val="22"/>
        </w:rPr>
        <w:t>São Paulo, [data].</w:t>
      </w:r>
    </w:p>
    <w:p>
      <w:pPr>
        <w:spacing w:before="720"/>
        <w:jc w:val="right"/>
      </w:pPr>
      <w:r>
        <w:rPr>
          <w:rFonts w:ascii="Manrope" w:hAnsi="Manrope" w:cs="Manrope"/>
          <w:b/>
          <w:color w:val="005263"/>
          <w:sz w:val="22"/>
        </w:rPr>
        <w:t>Fábio Garcia da Silva</w:t>
      </w:r>
    </w:p>
    <w:p>
      <w:pPr>
        <w:jc w:val="right"/>
      </w:pPr>
      <w:r>
        <w:rPr>
          <w:rFonts w:ascii="Manrope" w:hAnsi="Manrope" w:cs="Manrope"/>
          <w:b w:val="0"/>
          <w:color w:val="999999"/>
          <w:sz w:val="20"/>
        </w:rPr>
        <w:t>OAB/SP 232.079  ·  Sócio-fundador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nrope" w:hAnsi="Manrope" w:cs="Manrope"/>
        <w:b w:val="0"/>
        <w:color w:val="9E947E"/>
        <w:sz w:val="16"/>
      </w:rPr>
      <w:t>J3F Consultoria | Tax Intelligence  ·  Pagando o justo. Nem um centavo a mais.</w:t>
    </w:r>
  </w:p>
  <w:p>
    <w:pPr>
      <w:jc w:val="center"/>
    </w:pPr>
    <w:r>
      <w:rPr>
        <w:rFonts w:ascii="Manrope" w:hAnsi="Manrope" w:cs="Manrope"/>
        <w:b w:val="0"/>
        <w:color w:val="999999"/>
        <w:sz w:val="16"/>
      </w:rPr>
      <w:t>j3f.com.br  ·  São Paulo, SP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47354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3F_logo_primario_ver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7354" cy="5039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