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52"/>
        </w:rPr>
        <w:t>SCAFFOLD Enhancement Strategies</w:t>
      </w:r>
    </w:p>
    <w:p>
      <w:pPr>
        <w:jc w:val="center"/>
      </w:pPr>
      <w:r>
        <w:rPr>
          <w:rFonts w:ascii="Arial" w:hAnsi="Arial"/>
          <w:color w:val="4A5568"/>
          <w:sz w:val="28"/>
        </w:rPr>
        <w:t>For Hybrid FedProx Integration in Personal Finance Federated Learning</w:t>
      </w:r>
    </w:p>
    <w:p>
      <w:pPr>
        <w:spacing w:after="600"/>
        <w:jc w:val="center"/>
      </w:pPr>
      <w:r>
        <w:rPr>
          <w:color w:val="718096"/>
          <w:sz w:val="20"/>
        </w:rPr>
        <w:t>Project: FLwithFlwr  |  Author: Jeremy Perera  |  Date: January 2026</w:t>
      </w:r>
    </w:p>
    <w:p>
      <w:pPr>
        <w:spacing w:before="480" w:after="240"/>
      </w:pPr>
      <w:r>
        <w:rPr>
          <w:rFonts w:ascii="Arial" w:hAnsi="Arial"/>
          <w:b/>
          <w:color w:val="1A365D"/>
          <w:sz w:val="36"/>
        </w:rPr>
        <w:t>Executive Summary</w:t>
      </w:r>
    </w:p>
    <w:p>
      <w:pPr>
        <w:spacing w:after="200"/>
      </w:pPr>
      <w:r>
        <w:rPr>
          <w:rFonts w:ascii="Arial" w:hAnsi="Arial"/>
          <w:sz w:val="22"/>
        </w:rPr>
        <w:t>This document outlines functional improvements for SCAFFOLD (Stochastic Controlled Averaging for Federated Learning) to enhance its effectiveness when integrated with FedProx in a hybrid federated learning approach. The hybrid design leverages FedProx as a "leash" to control the magnitude of client drift, while SCAFFOLD provides gradient direction correction using control variates. These enhancements are specifically tailored for the Indian Personal Finance and Spending Habits dataset, which exhibits natural heterogeneity across city tiers and income brackets.</w:t>
      </w:r>
    </w:p>
    <w:p>
      <w:pPr>
        <w:spacing w:before="480" w:after="240"/>
      </w:pPr>
      <w:r>
        <w:rPr>
          <w:rFonts w:ascii="Arial" w:hAnsi="Arial"/>
          <w:b/>
          <w:color w:val="1A365D"/>
          <w:sz w:val="36"/>
        </w:rPr>
        <w:t>1. Control Variate Enhancement Strategies</w:t>
      </w:r>
    </w:p>
    <w:p>
      <w:pPr>
        <w:spacing w:before="360" w:after="160"/>
      </w:pPr>
      <w:r>
        <w:rPr>
          <w:rFonts w:ascii="Arial" w:hAnsi="Arial"/>
          <w:b/>
          <w:color w:val="2C5282"/>
          <w:sz w:val="28"/>
        </w:rPr>
        <w:t>1.1 Heterogeneity-Aware Control Variate Updates</w:t>
      </w:r>
    </w:p>
    <w:p>
      <w:pPr>
        <w:spacing w:after="200"/>
      </w:pPr>
      <w:r>
        <w:rPr>
          <w:rFonts w:ascii="Arial" w:hAnsi="Arial"/>
          <w:sz w:val="22"/>
        </w:rPr>
        <w:t>The current FedProx implementation uses gradient divergence to adapt μ. SCAFFOLD's control variates can benefit from similar heterogeneity awareness through the following mechanisms:</w:t>
      </w:r>
    </w:p>
    <w:p>
      <w:pPr>
        <w:spacing w:before="240" w:after="120"/>
      </w:pPr>
      <w:r>
        <w:rPr>
          <w:rFonts w:ascii="Arial" w:hAnsi="Arial"/>
          <w:b/>
          <w:color w:val="3182CE"/>
          <w:sz w:val="24"/>
        </w:rPr>
        <w:t>Weighted Control Variate Correction</w:t>
      </w:r>
    </w:p>
    <w:p>
      <w:pPr>
        <w:spacing w:after="200"/>
      </w:pPr>
      <w:r>
        <w:rPr>
          <w:rFonts w:ascii="Arial" w:hAnsi="Arial"/>
          <w:sz w:val="22"/>
        </w:rPr>
        <w:t>Scale the correction magnitude based on client drift metrics already being computed (HAPI, gradient divergence). Clients exhibiting higher drift receive proportionally stronger corrections, while stable clients maintain lighter-touch adjustments. This creates a dynamic correction system that responds to actual heterogeneity rather than applying uniform corrections.</w:t>
      </w:r>
    </w:p>
    <w:p>
      <w:pPr>
        <w:spacing w:before="240" w:after="120"/>
      </w:pPr>
      <w:r>
        <w:rPr>
          <w:rFonts w:ascii="Arial" w:hAnsi="Arial"/>
          <w:b/>
          <w:color w:val="3182CE"/>
          <w:sz w:val="24"/>
        </w:rPr>
        <w:t>Momentum-Based Control Updates</w:t>
      </w:r>
    </w:p>
    <w:p>
      <w:pPr>
        <w:spacing w:after="200"/>
      </w:pPr>
      <w:r>
        <w:rPr>
          <w:rFonts w:ascii="Arial" w:hAnsi="Arial"/>
          <w:sz w:val="22"/>
        </w:rPr>
        <w:t>Rather than direct replacement of control variates, implement exponential moving averages for control variate updates. This smooths out noisy corrections in high-variance clients, which is particularly relevant for Tier 3 city data in the personal finance dataset where variance is substantially higher than Tier 1 cities. The momentum coefficient can be adapted based on client stability metrics.</w:t>
      </w:r>
    </w:p>
    <w:p>
      <w:pPr>
        <w:spacing w:before="360" w:after="160"/>
      </w:pPr>
      <w:r>
        <w:rPr>
          <w:rFonts w:ascii="Arial" w:hAnsi="Arial"/>
          <w:b/>
          <w:color w:val="2C5282"/>
          <w:sz w:val="28"/>
        </w:rPr>
        <w:t>1.2 Partial Participation Handling</w:t>
      </w:r>
    </w:p>
    <w:p>
      <w:pPr>
        <w:spacing w:after="200"/>
      </w:pPr>
      <w:r>
        <w:rPr>
          <w:rFonts w:ascii="Arial" w:hAnsi="Arial"/>
          <w:sz w:val="22"/>
        </w:rPr>
        <w:t>Real federated scenarios rarely have all clients participating each round. The following strategies address this challenge:</w:t>
      </w:r>
    </w:p>
    <w:p>
      <w:pPr>
        <w:spacing w:before="240" w:after="120"/>
      </w:pPr>
      <w:r>
        <w:rPr>
          <w:rFonts w:ascii="Arial" w:hAnsi="Arial"/>
          <w:b/>
          <w:color w:val="3182CE"/>
          <w:sz w:val="24"/>
        </w:rPr>
        <w:t>Stale Control Variate Compensation</w:t>
      </w:r>
    </w:p>
    <w:p>
      <w:pPr>
        <w:spacing w:after="200"/>
      </w:pPr>
      <w:r>
        <w:rPr>
          <w:rFonts w:ascii="Arial" w:hAnsi="Arial"/>
          <w:sz w:val="22"/>
        </w:rPr>
        <w:t>When clients rejoin after missing rounds, their local control variates are outdated. Implement interpolation between stale local controls and current global controls. The interpolation weight should be inversely proportional to the number of missed rounds, allowing gradual re-alignment rather than abrupt updates that could destabilise training.</w:t>
      </w:r>
    </w:p>
    <w:p>
      <w:pPr>
        <w:spacing w:before="240" w:after="120"/>
      </w:pPr>
      <w:r>
        <w:rPr>
          <w:rFonts w:ascii="Arial" w:hAnsi="Arial"/>
          <w:b/>
          <w:color w:val="3182CE"/>
          <w:sz w:val="24"/>
        </w:rPr>
        <w:t>Participation-Weighted Aggregation</w:t>
      </w:r>
    </w:p>
    <w:p>
      <w:pPr>
        <w:spacing w:after="200"/>
      </w:pPr>
      <w:r>
        <w:rPr>
          <w:rFonts w:ascii="Arial" w:hAnsi="Arial"/>
          <w:sz w:val="22"/>
        </w:rPr>
        <w:t>Adjust server control variate updates based on client participation frequency. Clients that consistently participate provide more reliable gradient estimates, so their contributions to the global control variate should carry more weight. This prevents infrequent participants from disproportionately influencing the correction direction.</w:t>
      </w:r>
    </w:p>
    <w:p>
      <w:pPr>
        <w:spacing w:before="480" w:after="240"/>
      </w:pPr>
      <w:r>
        <w:rPr>
          <w:rFonts w:ascii="Arial" w:hAnsi="Arial"/>
          <w:b/>
          <w:color w:val="1A365D"/>
          <w:sz w:val="36"/>
        </w:rPr>
        <w:t>2. Hybrid Integration Points</w:t>
      </w:r>
    </w:p>
    <w:p>
      <w:pPr>
        <w:spacing w:before="360" w:after="160"/>
      </w:pPr>
      <w:r>
        <w:rPr>
          <w:rFonts w:ascii="Arial" w:hAnsi="Arial"/>
          <w:b/>
          <w:color w:val="2C5282"/>
          <w:sz w:val="28"/>
        </w:rPr>
        <w:t>2.1 Coordinated Regularisation</w:t>
      </w:r>
    </w:p>
    <w:p>
      <w:pPr>
        <w:spacing w:after="200"/>
      </w:pPr>
      <w:r>
        <w:rPr>
          <w:rFonts w:ascii="Arial" w:hAnsi="Arial"/>
          <w:sz w:val="22"/>
        </w:rPr>
        <w:t>The key insight from the hybrid approach—FedProx as "leash" and SCAFFOLD as "direction correction"—suggests opportunities for coordinated operation:</w:t>
      </w:r>
    </w:p>
    <w:p>
      <w:pPr>
        <w:spacing w:before="240" w:after="120"/>
      </w:pPr>
      <w:r>
        <w:rPr>
          <w:rFonts w:ascii="Arial" w:hAnsi="Arial"/>
          <w:b/>
          <w:color w:val="3182CE"/>
          <w:sz w:val="24"/>
        </w:rPr>
        <w:t>Adaptive Balance Mechanism</w:t>
      </w:r>
    </w:p>
    <w:p>
      <w:pPr>
        <w:spacing w:after="200"/>
      </w:pPr>
      <w:r>
        <w:rPr>
          <w:rFonts w:ascii="Arial" w:hAnsi="Arial"/>
          <w:sz w:val="22"/>
        </w:rPr>
        <w:t>Implement dynamic weighting between the two algorithms based on drift characteristics. When gradient divergence is high (strong drift magnitude), lean more heavily on FedProx's proximal term. When direction disagreement is high but magnitude is reasonable, emphasise SCAFFOLD's correction. This can be achieved through a meta-controller that monitors both metrics and adjusts algorithm contributions accordingly.</w:t>
      </w:r>
    </w:p>
    <w:p>
      <w:pPr>
        <w:spacing w:before="240" w:after="120"/>
      </w:pPr>
      <w:r>
        <w:rPr>
          <w:rFonts w:ascii="Arial" w:hAnsi="Arial"/>
          <w:b/>
          <w:color w:val="3182CE"/>
          <w:sz w:val="24"/>
        </w:rPr>
        <w:t>Separate μ for Control-Corrected Gradients</w:t>
      </w:r>
    </w:p>
    <w:p>
      <w:pPr>
        <w:spacing w:after="200"/>
      </w:pPr>
      <w:r>
        <w:rPr>
          <w:rFonts w:ascii="Arial" w:hAnsi="Arial"/>
          <w:sz w:val="22"/>
        </w:rPr>
        <w:t>Apply potentially different proximal strength to the SCAFFOLD-corrected update versus the raw local gradient. The corrected gradient has already been adjusted for direction, so it may require less aggressive magnitude control. This dual-μ approach allows fine-grained tuning of the hybrid behaviour.</w:t>
      </w:r>
    </w:p>
    <w:p>
      <w:pPr>
        <w:spacing w:before="360" w:after="160"/>
      </w:pPr>
      <w:r>
        <w:rPr>
          <w:rFonts w:ascii="Arial" w:hAnsi="Arial"/>
          <w:b/>
          <w:color w:val="2C5282"/>
          <w:sz w:val="28"/>
        </w:rPr>
        <w:t>2.2 Layer-Wise SCAFFOLD</w:t>
      </w:r>
    </w:p>
    <w:p>
      <w:pPr>
        <w:spacing w:after="200"/>
      </w:pPr>
      <w:r>
        <w:rPr>
          <w:rFonts w:ascii="Arial" w:hAnsi="Arial"/>
          <w:sz w:val="22"/>
        </w:rPr>
        <w:t>Extending the existing layer-wise adaptive μ strategies to SCAFFOLD creates a more nuanced correction system:</w:t>
      </w:r>
    </w:p>
    <w:p>
      <w:pPr>
        <w:spacing w:before="240" w:after="120"/>
      </w:pPr>
      <w:r>
        <w:rPr>
          <w:rFonts w:ascii="Arial" w:hAnsi="Arial"/>
          <w:b/>
          <w:color w:val="3182CE"/>
          <w:sz w:val="24"/>
        </w:rPr>
        <w:t>Per-Layer Control Variates</w:t>
      </w:r>
    </w:p>
    <w:p>
      <w:pPr>
        <w:spacing w:after="200"/>
      </w:pPr>
      <w:r>
        <w:rPr>
          <w:rFonts w:ascii="Arial" w:hAnsi="Arial"/>
          <w:sz w:val="22"/>
        </w:rPr>
        <w:t>Maintain separate control variates for feature extraction layers versus classifier layers. This recognises that different network components have different roles and may drift differently. Feature extraction layers typically learn shared representations, while classifier layers adapt to local data distributions.</w:t>
      </w:r>
    </w:p>
    <w:p>
      <w:pPr>
        <w:spacing w:before="240" w:after="120"/>
      </w:pPr>
      <w:r>
        <w:rPr>
          <w:rFonts w:ascii="Arial" w:hAnsi="Arial"/>
          <w:b/>
          <w:color w:val="3182CE"/>
          <w:sz w:val="24"/>
        </w:rPr>
        <w:t>Differential Correction Strength</w:t>
      </w:r>
    </w:p>
    <w:p>
      <w:pPr>
        <w:spacing w:after="200"/>
      </w:pPr>
      <w:r>
        <w:rPr>
          <w:rFonts w:ascii="Arial" w:hAnsi="Arial"/>
          <w:sz w:val="22"/>
        </w:rPr>
        <w:t>Earlier layers (shared representations) might need stronger global alignment, while later layers (task-specific) can tolerate more local variation. This is particularly useful given the existing FedBN setup that already treats batch normalisation differently. The correction strength gradient should be inversely related to layer depth.</w:t>
      </w:r>
    </w:p>
    <w:p>
      <w:pPr>
        <w:spacing w:before="480" w:after="240"/>
      </w:pPr>
      <w:r>
        <w:rPr>
          <w:rFonts w:ascii="Arial" w:hAnsi="Arial"/>
          <w:b/>
          <w:color w:val="1A365D"/>
          <w:sz w:val="36"/>
        </w:rPr>
        <w:t>3. Client Variance-Specific Improvements</w:t>
      </w:r>
    </w:p>
    <w:p>
      <w:pPr>
        <w:spacing w:before="360" w:after="160"/>
      </w:pPr>
      <w:r>
        <w:rPr>
          <w:rFonts w:ascii="Arial" w:hAnsi="Arial"/>
          <w:b/>
          <w:color w:val="2C5282"/>
          <w:sz w:val="28"/>
        </w:rPr>
        <w:t>3.1 Variance-Normalised Control Updates</w:t>
      </w:r>
    </w:p>
    <w:p>
      <w:pPr>
        <w:spacing w:after="200"/>
      </w:pPr>
      <w:r>
        <w:rPr>
          <w:rFonts w:ascii="Arial" w:hAnsi="Arial"/>
          <w:sz w:val="22"/>
        </w:rPr>
        <w:t>Given the dataset's high coefficient of variation across city tiers, control update mechanisms should account for inherent client variance:</w:t>
      </w:r>
    </w:p>
    <w:p>
      <w:pPr>
        <w:spacing w:before="240" w:after="120"/>
      </w:pPr>
      <w:r>
        <w:rPr>
          <w:rFonts w:ascii="Arial" w:hAnsi="Arial"/>
          <w:b/>
          <w:color w:val="3182CE"/>
          <w:sz w:val="24"/>
        </w:rPr>
        <w:t>Client-Specific Learning Rate for Control Updates</w:t>
      </w:r>
    </w:p>
    <w:p>
      <w:pPr>
        <w:spacing w:after="200"/>
      </w:pPr>
      <w:r>
        <w:rPr>
          <w:rFonts w:ascii="Arial" w:hAnsi="Arial"/>
          <w:sz w:val="22"/>
        </w:rPr>
        <w:t>High-variance clients (Tier 3) should update their controls more conservatively to avoid overcorrection. This can be implemented as a scaling factor inversely proportional to historical variance metrics. The learning rate adjustment ensures that noisy gradient estimates don't propagate into aggressive control variate changes.</w:t>
      </w:r>
    </w:p>
    <w:p>
      <w:pPr>
        <w:spacing w:before="240" w:after="120"/>
      </w:pPr>
      <w:r>
        <w:rPr>
          <w:rFonts w:ascii="Arial" w:hAnsi="Arial"/>
          <w:b/>
          <w:color w:val="3182CE"/>
          <w:sz w:val="24"/>
        </w:rPr>
        <w:t>Robust Aggregation for Server Controls</w:t>
      </w:r>
    </w:p>
    <w:p>
      <w:pPr>
        <w:spacing w:after="200"/>
      </w:pPr>
      <w:r>
        <w:rPr>
          <w:rFonts w:ascii="Arial" w:hAnsi="Arial"/>
          <w:sz w:val="22"/>
        </w:rPr>
        <w:t>Use trimmed means or median-based aggregation when computing global control variates to handle outlier clients. This is particularly important when income bracket partitioning creates clients with significantly different data distributions. Robust statistics prevent extreme clients from dominating the global correction direction.</w:t>
      </w:r>
    </w:p>
    <w:p>
      <w:pPr>
        <w:spacing w:before="360" w:after="160"/>
      </w:pPr>
      <w:r>
        <w:rPr>
          <w:rFonts w:ascii="Arial" w:hAnsi="Arial"/>
          <w:b/>
          <w:color w:val="2C5282"/>
          <w:sz w:val="28"/>
        </w:rPr>
        <w:t>3.2 Class-Imbalance Aware Controls</w:t>
      </w:r>
    </w:p>
    <w:p>
      <w:pPr>
        <w:spacing w:after="200"/>
      </w:pPr>
      <w:r>
        <w:rPr>
          <w:rFonts w:ascii="Arial" w:hAnsi="Arial"/>
          <w:sz w:val="22"/>
        </w:rPr>
        <w:t>Income bracket partitioning creates label skew across clients. SCAFFOLD can address this through class-aware mechanisms:</w:t>
      </w:r>
    </w:p>
    <w:p>
      <w:pPr>
        <w:spacing w:before="240" w:after="120"/>
      </w:pPr>
      <w:r>
        <w:rPr>
          <w:rFonts w:ascii="Arial" w:hAnsi="Arial"/>
          <w:b/>
          <w:color w:val="3182CE"/>
          <w:sz w:val="24"/>
        </w:rPr>
        <w:t>Per-Class Control Variates</w:t>
      </w:r>
    </w:p>
    <w:p>
      <w:pPr>
        <w:spacing w:after="200"/>
      </w:pPr>
      <w:r>
        <w:rPr>
          <w:rFonts w:ascii="Arial" w:hAnsi="Arial"/>
          <w:sz w:val="22"/>
        </w:rPr>
        <w:t>Maintain separate correction terms for each savings classification category (Low, Medium, High). This allows the correction to account for the fact that different clients may have very different class distributions. Clients dominated by high-savings individuals receive different corrections than those serving primarily low-savings populations.</w:t>
      </w:r>
    </w:p>
    <w:p>
      <w:pPr>
        <w:spacing w:before="240" w:after="120"/>
      </w:pPr>
      <w:r>
        <w:rPr>
          <w:rFonts w:ascii="Arial" w:hAnsi="Arial"/>
          <w:b/>
          <w:color w:val="3182CE"/>
          <w:sz w:val="24"/>
        </w:rPr>
        <w:t>Prototype-Guided Corrections</w:t>
      </w:r>
    </w:p>
    <w:p>
      <w:pPr>
        <w:spacing w:after="200"/>
      </w:pPr>
      <w:r>
        <w:rPr>
          <w:rFonts w:ascii="Arial" w:hAnsi="Arial"/>
          <w:sz w:val="22"/>
        </w:rPr>
        <w:t>Use the existing compute_class_prototypes method to inform control variate updates. By ensuring corrections align with global class representations, SCAFFOLD can help clients whose local class distributions differ significantly from the global distribution. This bridges the gap between local optima and the globally balanced objective.</w:t>
      </w:r>
    </w:p>
    <w:p>
      <w:pPr>
        <w:spacing w:before="480" w:after="240"/>
      </w:pPr>
      <w:r>
        <w:rPr>
          <w:rFonts w:ascii="Arial" w:hAnsi="Arial"/>
          <w:b/>
          <w:color w:val="1A365D"/>
          <w:sz w:val="36"/>
        </w:rPr>
        <w:t>4. Practical Convergence Improvements</w:t>
      </w:r>
    </w:p>
    <w:p>
      <w:pPr>
        <w:spacing w:before="360" w:after="160"/>
      </w:pPr>
      <w:r>
        <w:rPr>
          <w:rFonts w:ascii="Arial" w:hAnsi="Arial"/>
          <w:b/>
          <w:color w:val="2C5282"/>
          <w:sz w:val="28"/>
        </w:rPr>
        <w:t>4.1 Warm-Start Control Variates</w:t>
      </w:r>
    </w:p>
    <w:p>
      <w:pPr>
        <w:spacing w:after="200"/>
      </w:pPr>
      <w:r>
        <w:rPr>
          <w:rFonts w:ascii="Arial" w:hAnsi="Arial"/>
          <w:sz w:val="22"/>
        </w:rPr>
        <w:t>Rather than initialising controls at zero, which can lead to slow convergence in early rounds:</w:t>
      </w:r>
    </w:p>
    <w:p>
      <w:pPr>
        <w:spacing w:before="240" w:after="120"/>
      </w:pPr>
      <w:r>
        <w:rPr>
          <w:rFonts w:ascii="Arial" w:hAnsi="Arial"/>
          <w:b/>
          <w:color w:val="3182CE"/>
          <w:sz w:val="24"/>
        </w:rPr>
        <w:t>Pre-Training Phase</w:t>
      </w:r>
    </w:p>
    <w:p>
      <w:pPr>
        <w:spacing w:after="200"/>
      </w:pPr>
      <w:r>
        <w:rPr>
          <w:rFonts w:ascii="Arial" w:hAnsi="Arial"/>
          <w:sz w:val="22"/>
        </w:rPr>
        <w:t>Run a few rounds of standard FedAvg to establish reasonable control variate initialisation. The gradient information gathered during these preliminary rounds provides a much better starting point than zero initialisation. This reduces the "cold start" problem where early SCAFFOLD corrections may be poorly calibrated.</w:t>
      </w:r>
    </w:p>
    <w:p>
      <w:pPr>
        <w:spacing w:before="240" w:after="120"/>
      </w:pPr>
      <w:r>
        <w:rPr>
          <w:rFonts w:ascii="Arial" w:hAnsi="Arial"/>
          <w:b/>
          <w:color w:val="3182CE"/>
          <w:sz w:val="24"/>
        </w:rPr>
        <w:t>FedProx-Informed Initialisation</w:t>
      </w:r>
    </w:p>
    <w:p>
      <w:pPr>
        <w:spacing w:after="200"/>
      </w:pPr>
      <w:r>
        <w:rPr>
          <w:rFonts w:ascii="Arial" w:hAnsi="Arial"/>
          <w:sz w:val="22"/>
        </w:rPr>
        <w:t>Use the gradient divergence computed during early FedProx rounds to initialise control variates. Since FedProx already computes client-specific drift metrics, this information can seed the SCAFFOLD control variates with meaningful initial values that reflect actual client heterogeneity.</w:t>
      </w:r>
    </w:p>
    <w:p>
      <w:pPr>
        <w:spacing w:before="360" w:after="160"/>
      </w:pPr>
      <w:r>
        <w:rPr>
          <w:rFonts w:ascii="Arial" w:hAnsi="Arial"/>
          <w:b/>
          <w:color w:val="2C5282"/>
          <w:sz w:val="28"/>
        </w:rPr>
        <w:t>4.2 Adaptive Control Update Frequency</w:t>
      </w:r>
    </w:p>
    <w:p>
      <w:pPr>
        <w:spacing w:after="200"/>
      </w:pPr>
      <w:r>
        <w:rPr>
          <w:rFonts w:ascii="Arial" w:hAnsi="Arial"/>
          <w:sz w:val="22"/>
        </w:rPr>
        <w:t>Not all clients require control variate updates every round. Adaptive frequency reduces overhead while maintaining effectiveness:</w:t>
      </w:r>
    </w:p>
    <w:p>
      <w:pPr>
        <w:spacing w:before="240" w:after="120"/>
      </w:pPr>
      <w:r>
        <w:rPr>
          <w:rFonts w:ascii="Arial" w:hAnsi="Arial"/>
          <w:b/>
          <w:color w:val="3182CE"/>
          <w:sz w:val="24"/>
        </w:rPr>
        <w:t>Skip Updates for Stable Clients</w:t>
      </w:r>
    </w:p>
    <w:p>
      <w:pPr>
        <w:spacing w:after="200"/>
      </w:pPr>
      <w:r>
        <w:rPr>
          <w:rFonts w:ascii="Arial" w:hAnsi="Arial"/>
          <w:sz w:val="22"/>
        </w:rPr>
        <w:t>If a client's local training shows minimal drift (low gradient divergence), skip control variate updates to reduce communication overhead. The threshold for "minimal drift" can be calibrated based on historical drift statistics. This prioritises computational resources for clients that genuinely need correction.</w:t>
      </w:r>
    </w:p>
    <w:p>
      <w:pPr>
        <w:spacing w:before="240" w:after="120"/>
      </w:pPr>
      <w:r>
        <w:rPr>
          <w:rFonts w:ascii="Arial" w:hAnsi="Arial"/>
          <w:b/>
          <w:color w:val="3182CE"/>
          <w:sz w:val="24"/>
        </w:rPr>
        <w:t>Triggered Full Updates</w:t>
      </w:r>
    </w:p>
    <w:p>
      <w:pPr>
        <w:spacing w:after="200"/>
      </w:pPr>
      <w:r>
        <w:rPr>
          <w:rFonts w:ascii="Arial" w:hAnsi="Arial"/>
          <w:sz w:val="22"/>
        </w:rPr>
        <w:t>When drift exceeds a threshold, perform complete control variate synchronisation. This event-driven approach ensures that significant deviations are promptly addressed while avoiding unnecessary updates during stable periods. The threshold can be adaptive based on global convergence progress.</w:t>
      </w:r>
    </w:p>
    <w:p>
      <w:pPr>
        <w:spacing w:before="480" w:after="240"/>
      </w:pPr>
      <w:r>
        <w:rPr>
          <w:rFonts w:ascii="Arial" w:hAnsi="Arial"/>
          <w:b/>
          <w:color w:val="1A365D"/>
          <w:sz w:val="36"/>
        </w:rPr>
        <w:t>5. Diagnostic Additions</w:t>
      </w:r>
    </w:p>
    <w:p>
      <w:pPr>
        <w:spacing w:before="360" w:after="160"/>
      </w:pPr>
      <w:r>
        <w:rPr>
          <w:rFonts w:ascii="Arial" w:hAnsi="Arial"/>
          <w:b/>
          <w:color w:val="2C5282"/>
          <w:sz w:val="28"/>
        </w:rPr>
        <w:t>5.1 Correction Quality Metrics</w:t>
      </w:r>
    </w:p>
    <w:p>
      <w:pPr>
        <w:spacing w:after="200"/>
      </w:pPr>
      <w:r>
        <w:rPr>
          <w:rFonts w:ascii="Arial" w:hAnsi="Arial"/>
          <w:sz w:val="22"/>
        </w:rPr>
        <w:t>To tune the hybrid balance effectively, implement metrics that quantify correction quality:</w:t>
      </w:r>
    </w:p>
    <w:p>
      <w:pPr>
        <w:spacing w:before="240" w:after="120"/>
      </w:pPr>
      <w:r>
        <w:rPr>
          <w:rFonts w:ascii="Arial" w:hAnsi="Arial"/>
          <w:b/>
          <w:color w:val="3182CE"/>
          <w:sz w:val="24"/>
        </w:rPr>
        <w:t>Track Correction Alignment</w:t>
      </w:r>
    </w:p>
    <w:p>
      <w:pPr>
        <w:spacing w:after="200"/>
      </w:pPr>
      <w:r>
        <w:rPr>
          <w:rFonts w:ascii="Arial" w:hAnsi="Arial"/>
          <w:sz w:val="22"/>
        </w:rPr>
        <w:t>Measure cosine similarity between SCAFFOLD corrections and actual global gradient direction. High alignment indicates effective corrections, while low alignment suggests the control variates may be outdated or poorly calibrated. This metric can inform when to trigger control variate refreshes.</w:t>
      </w:r>
    </w:p>
    <w:p>
      <w:pPr>
        <w:spacing w:before="240" w:after="120"/>
      </w:pPr>
      <w:r>
        <w:rPr>
          <w:rFonts w:ascii="Arial" w:hAnsi="Arial"/>
          <w:b/>
          <w:color w:val="3182CE"/>
          <w:sz w:val="24"/>
        </w:rPr>
        <w:t>Drift Decomposition</w:t>
      </w:r>
    </w:p>
    <w:p>
      <w:pPr>
        <w:spacing w:after="200"/>
      </w:pPr>
      <w:r>
        <w:rPr>
          <w:rFonts w:ascii="Arial" w:hAnsi="Arial"/>
          <w:sz w:val="22"/>
        </w:rPr>
        <w:t>Separate total client drift into magnitude (which FedProx addresses) and direction (which SCAFFOLD addresses) components. This decomposition enables better strategy selection—if direction drift dominates, increase SCAFFOLD's influence; if magnitude drift dominates, strengthen FedProx's proximal term. The decomposition also provides insights into the nature of heterogeneity in different client populations.</w:t>
      </w:r>
    </w:p>
    <w:p>
      <w:pPr>
        <w:spacing w:before="480" w:after="240"/>
      </w:pPr>
      <w:r>
        <w:rPr>
          <w:rFonts w:ascii="Arial" w:hAnsi="Arial"/>
          <w:b/>
          <w:color w:val="1A365D"/>
          <w:sz w:val="36"/>
        </w:rPr>
        <w:t>6. Summary of Enhancement Categories</w:t>
      </w:r>
    </w:p>
    <w:p>
      <w:pPr>
        <w:spacing w:after="200"/>
      </w:pPr>
      <w:r>
        <w:rPr>
          <w:rFonts w:ascii="Arial" w:hAnsi="Arial"/>
          <w:sz w:val="22"/>
        </w:rPr>
        <w:t>The following table summarises the key enhancement categories and their primary benefits: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5282"/>
          </w:tcPr>
          <w:p>
            <w:r>
              <w:rPr>
                <w:rFonts w:ascii="Arial" w:hAnsi="Arial"/>
                <w:b/>
                <w:color w:val="FFFFFF"/>
                <w:sz w:val="20"/>
              </w:rPr>
              <w:t>Category</w:t>
            </w:r>
          </w:p>
        </w:tc>
        <w:tc>
          <w:tcPr>
            <w:tcW w:type="dxa" w:w="3120"/>
            <w:shd w:fill="2C5282"/>
          </w:tcPr>
          <w:p>
            <w:r>
              <w:rPr>
                <w:rFonts w:ascii="Arial" w:hAnsi="Arial"/>
                <w:b/>
                <w:color w:val="FFFFFF"/>
                <w:sz w:val="20"/>
              </w:rPr>
              <w:t>Key Strategies</w:t>
            </w:r>
          </w:p>
        </w:tc>
        <w:tc>
          <w:tcPr>
            <w:tcW w:type="dxa" w:w="3120"/>
            <w:shd w:fill="2C5282"/>
          </w:tcPr>
          <w:p>
            <w:r>
              <w:rPr>
                <w:rFonts w:ascii="Arial" w:hAnsi="Arial"/>
                <w:b/>
                <w:color w:val="FFFFFF"/>
                <w:sz w:val="20"/>
              </w:rPr>
              <w:t>Primary Benefit</w:t>
            </w:r>
          </w:p>
        </w:tc>
      </w:tr>
      <w:tr>
        <w:tc>
          <w:tcPr>
            <w:tcW w:type="dxa" w:w="3120"/>
            <w:shd w:fill="FFFFFF"/>
          </w:tcPr>
          <w:p>
            <w:r>
              <w:rPr>
                <w:rFonts w:ascii="Arial" w:hAnsi="Arial"/>
                <w:sz w:val="20"/>
              </w:rPr>
              <w:t>Control Variate Enhancement</w:t>
            </w:r>
          </w:p>
        </w:tc>
        <w:tc>
          <w:tcPr>
            <w:tcW w:type="dxa" w:w="3120"/>
            <w:shd w:fill="FFFFFF"/>
          </w:tcPr>
          <w:p>
            <w:r>
              <w:rPr>
                <w:rFonts w:ascii="Arial" w:hAnsi="Arial"/>
                <w:sz w:val="20"/>
              </w:rPr>
              <w:t>Heterogeneity-aware updates, momentum-based smoothing</w:t>
            </w:r>
          </w:p>
        </w:tc>
        <w:tc>
          <w:tcPr>
            <w:tcW w:type="dxa" w:w="3120"/>
            <w:shd w:fill="FFFFFF"/>
          </w:tcPr>
          <w:p>
            <w:r>
              <w:rPr>
                <w:rFonts w:ascii="Arial" w:hAnsi="Arial"/>
                <w:sz w:val="20"/>
              </w:rPr>
              <w:t>Responsive correction to actual drift patterns</w:t>
            </w:r>
          </w:p>
        </w:tc>
      </w:tr>
      <w:tr>
        <w:tc>
          <w:tcPr>
            <w:tcW w:type="dxa" w:w="3120"/>
            <w:shd w:fill="F7FAFC"/>
          </w:tcPr>
          <w:p>
            <w:r>
              <w:rPr>
                <w:rFonts w:ascii="Arial" w:hAnsi="Arial"/>
                <w:sz w:val="20"/>
              </w:rPr>
              <w:t>Partial Participation</w:t>
            </w:r>
          </w:p>
        </w:tc>
        <w:tc>
          <w:tcPr>
            <w:tcW w:type="dxa" w:w="3120"/>
            <w:shd w:fill="F7FAFC"/>
          </w:tcPr>
          <w:p>
            <w:r>
              <w:rPr>
                <w:rFonts w:ascii="Arial" w:hAnsi="Arial"/>
                <w:sz w:val="20"/>
              </w:rPr>
              <w:t>Stale variate compensation, participation weighting</w:t>
            </w:r>
          </w:p>
        </w:tc>
        <w:tc>
          <w:tcPr>
            <w:tcW w:type="dxa" w:w="3120"/>
            <w:shd w:fill="F7FAFC"/>
          </w:tcPr>
          <w:p>
            <w:r>
              <w:rPr>
                <w:rFonts w:ascii="Arial" w:hAnsi="Arial"/>
                <w:sz w:val="20"/>
              </w:rPr>
              <w:t>Robust operation with irregular clients</w:t>
            </w:r>
          </w:p>
        </w:tc>
      </w:tr>
      <w:tr>
        <w:tc>
          <w:tcPr>
            <w:tcW w:type="dxa" w:w="3120"/>
            <w:shd w:fill="FFFFFF"/>
          </w:tcPr>
          <w:p>
            <w:r>
              <w:rPr>
                <w:rFonts w:ascii="Arial" w:hAnsi="Arial"/>
                <w:sz w:val="20"/>
              </w:rPr>
              <w:t>Hybrid Integration</w:t>
            </w:r>
          </w:p>
        </w:tc>
        <w:tc>
          <w:tcPr>
            <w:tcW w:type="dxa" w:w="3120"/>
            <w:shd w:fill="FFFFFF"/>
          </w:tcPr>
          <w:p>
            <w:r>
              <w:rPr>
                <w:rFonts w:ascii="Arial" w:hAnsi="Arial"/>
                <w:sz w:val="20"/>
              </w:rPr>
              <w:t>Adaptive balance, dual-μ approach</w:t>
            </w:r>
          </w:p>
        </w:tc>
        <w:tc>
          <w:tcPr>
            <w:tcW w:type="dxa" w:w="3120"/>
            <w:shd w:fill="FFFFFF"/>
          </w:tcPr>
          <w:p>
            <w:r>
              <w:rPr>
                <w:rFonts w:ascii="Arial" w:hAnsi="Arial"/>
                <w:sz w:val="20"/>
              </w:rPr>
              <w:t>Coordinated FedProx-SCAFFOLD operation</w:t>
            </w:r>
          </w:p>
        </w:tc>
      </w:tr>
      <w:tr>
        <w:tc>
          <w:tcPr>
            <w:tcW w:type="dxa" w:w="3120"/>
            <w:shd w:fill="F7FAFC"/>
          </w:tcPr>
          <w:p>
            <w:r>
              <w:rPr>
                <w:rFonts w:ascii="Arial" w:hAnsi="Arial"/>
                <w:sz w:val="20"/>
              </w:rPr>
              <w:t>Layer-Wise SCAFFOLD</w:t>
            </w:r>
          </w:p>
        </w:tc>
        <w:tc>
          <w:tcPr>
            <w:tcW w:type="dxa" w:w="3120"/>
            <w:shd w:fill="F7FAFC"/>
          </w:tcPr>
          <w:p>
            <w:r>
              <w:rPr>
                <w:rFonts w:ascii="Arial" w:hAnsi="Arial"/>
                <w:sz w:val="20"/>
              </w:rPr>
              <w:t>Per-layer controls, differential strength</w:t>
            </w:r>
          </w:p>
        </w:tc>
        <w:tc>
          <w:tcPr>
            <w:tcW w:type="dxa" w:w="3120"/>
            <w:shd w:fill="F7FAFC"/>
          </w:tcPr>
          <w:p>
            <w:r>
              <w:rPr>
                <w:rFonts w:ascii="Arial" w:hAnsi="Arial"/>
                <w:sz w:val="20"/>
              </w:rPr>
              <w:t>Fine-grained correction by network depth</w:t>
            </w:r>
          </w:p>
        </w:tc>
      </w:tr>
      <w:tr>
        <w:tc>
          <w:tcPr>
            <w:tcW w:type="dxa" w:w="3120"/>
            <w:shd w:fill="FFFFFF"/>
          </w:tcPr>
          <w:p>
            <w:r>
              <w:rPr>
                <w:rFonts w:ascii="Arial" w:hAnsi="Arial"/>
                <w:sz w:val="20"/>
              </w:rPr>
              <w:t>Variance-Specific</w:t>
            </w:r>
          </w:p>
        </w:tc>
        <w:tc>
          <w:tcPr>
            <w:tcW w:type="dxa" w:w="3120"/>
            <w:shd w:fill="FFFFFF"/>
          </w:tcPr>
          <w:p>
            <w:r>
              <w:rPr>
                <w:rFonts w:ascii="Arial" w:hAnsi="Arial"/>
                <w:sz w:val="20"/>
              </w:rPr>
              <w:t>Client-specific rates, robust aggregation</w:t>
            </w:r>
          </w:p>
        </w:tc>
        <w:tc>
          <w:tcPr>
            <w:tcW w:type="dxa" w:w="3120"/>
            <w:shd w:fill="FFFFFF"/>
          </w:tcPr>
          <w:p>
            <w:r>
              <w:rPr>
                <w:rFonts w:ascii="Arial" w:hAnsi="Arial"/>
                <w:sz w:val="20"/>
              </w:rPr>
              <w:t>Handles high-variance Tier 3 clients</w:t>
            </w:r>
          </w:p>
        </w:tc>
      </w:tr>
      <w:tr>
        <w:tc>
          <w:tcPr>
            <w:tcW w:type="dxa" w:w="3120"/>
            <w:shd w:fill="F7FAFC"/>
          </w:tcPr>
          <w:p>
            <w:r>
              <w:rPr>
                <w:rFonts w:ascii="Arial" w:hAnsi="Arial"/>
                <w:sz w:val="20"/>
              </w:rPr>
              <w:t>Class-Imbalance Aware</w:t>
            </w:r>
          </w:p>
        </w:tc>
        <w:tc>
          <w:tcPr>
            <w:tcW w:type="dxa" w:w="3120"/>
            <w:shd w:fill="F7FAFC"/>
          </w:tcPr>
          <w:p>
            <w:r>
              <w:rPr>
                <w:rFonts w:ascii="Arial" w:hAnsi="Arial"/>
                <w:sz w:val="20"/>
              </w:rPr>
              <w:t>Per-class controls, prototype guidance</w:t>
            </w:r>
          </w:p>
        </w:tc>
        <w:tc>
          <w:tcPr>
            <w:tcW w:type="dxa" w:w="3120"/>
            <w:shd w:fill="F7FAFC"/>
          </w:tcPr>
          <w:p>
            <w:r>
              <w:rPr>
                <w:rFonts w:ascii="Arial" w:hAnsi="Arial"/>
                <w:sz w:val="20"/>
              </w:rPr>
              <w:t>Addresses label skew from partitioning</w:t>
            </w:r>
          </w:p>
        </w:tc>
      </w:tr>
      <w:tr>
        <w:tc>
          <w:tcPr>
            <w:tcW w:type="dxa" w:w="3120"/>
            <w:shd w:fill="FFFFFF"/>
          </w:tcPr>
          <w:p>
            <w:r>
              <w:rPr>
                <w:rFonts w:ascii="Arial" w:hAnsi="Arial"/>
                <w:sz w:val="20"/>
              </w:rPr>
              <w:t>Warm-Start Controls</w:t>
            </w:r>
          </w:p>
        </w:tc>
        <w:tc>
          <w:tcPr>
            <w:tcW w:type="dxa" w:w="3120"/>
            <w:shd w:fill="FFFFFF"/>
          </w:tcPr>
          <w:p>
            <w:r>
              <w:rPr>
                <w:rFonts w:ascii="Arial" w:hAnsi="Arial"/>
                <w:sz w:val="20"/>
              </w:rPr>
              <w:t>Pre-training phase, FedProx-informed init</w:t>
            </w:r>
          </w:p>
        </w:tc>
        <w:tc>
          <w:tcPr>
            <w:tcW w:type="dxa" w:w="3120"/>
            <w:shd w:fill="FFFFFF"/>
          </w:tcPr>
          <w:p>
            <w:r>
              <w:rPr>
                <w:rFonts w:ascii="Arial" w:hAnsi="Arial"/>
                <w:sz w:val="20"/>
              </w:rPr>
              <w:t>Faster early convergence</w:t>
            </w:r>
          </w:p>
        </w:tc>
      </w:tr>
      <w:tr>
        <w:tc>
          <w:tcPr>
            <w:tcW w:type="dxa" w:w="3120"/>
            <w:shd w:fill="F7FAFC"/>
          </w:tcPr>
          <w:p>
            <w:r>
              <w:rPr>
                <w:rFonts w:ascii="Arial" w:hAnsi="Arial"/>
                <w:sz w:val="20"/>
              </w:rPr>
              <w:t>Adaptive Frequency</w:t>
            </w:r>
          </w:p>
        </w:tc>
        <w:tc>
          <w:tcPr>
            <w:tcW w:type="dxa" w:w="3120"/>
            <w:shd w:fill="F7FAFC"/>
          </w:tcPr>
          <w:p>
            <w:r>
              <w:rPr>
                <w:rFonts w:ascii="Arial" w:hAnsi="Arial"/>
                <w:sz w:val="20"/>
              </w:rPr>
              <w:t>Skip stable clients, triggered full updates</w:t>
            </w:r>
          </w:p>
        </w:tc>
        <w:tc>
          <w:tcPr>
            <w:tcW w:type="dxa" w:w="3120"/>
            <w:shd w:fill="F7FAFC"/>
          </w:tcPr>
          <w:p>
            <w:r>
              <w:rPr>
                <w:rFonts w:ascii="Arial" w:hAnsi="Arial"/>
                <w:sz w:val="20"/>
              </w:rPr>
              <w:t>Reduced communication overhead</w:t>
            </w:r>
          </w:p>
        </w:tc>
      </w:tr>
      <w:tr>
        <w:tc>
          <w:tcPr>
            <w:tcW w:type="dxa" w:w="3120"/>
            <w:shd w:fill="FFFFFF"/>
          </w:tcPr>
          <w:p>
            <w:r>
              <w:rPr>
                <w:rFonts w:ascii="Arial" w:hAnsi="Arial"/>
                <w:sz w:val="20"/>
              </w:rPr>
              <w:t>Diagnostic Metrics</w:t>
            </w:r>
          </w:p>
        </w:tc>
        <w:tc>
          <w:tcPr>
            <w:tcW w:type="dxa" w:w="3120"/>
            <w:shd w:fill="FFFFFF"/>
          </w:tcPr>
          <w:p>
            <w:r>
              <w:rPr>
                <w:rFonts w:ascii="Arial" w:hAnsi="Arial"/>
                <w:sz w:val="20"/>
              </w:rPr>
              <w:t>Correction alignment, drift decomposition</w:t>
            </w:r>
          </w:p>
        </w:tc>
        <w:tc>
          <w:tcPr>
            <w:tcW w:type="dxa" w:w="3120"/>
            <w:shd w:fill="FFFFFF"/>
          </w:tcPr>
          <w:p>
            <w:r>
              <w:rPr>
                <w:rFonts w:ascii="Arial" w:hAnsi="Arial"/>
                <w:sz w:val="20"/>
              </w:rPr>
              <w:t>Informed hybrid tuning decisions</w:t>
            </w:r>
          </w:p>
        </w:tc>
      </w:tr>
    </w:tbl>
    <w:p>
      <w:pPr>
        <w:spacing w:before="480" w:after="240"/>
      </w:pPr>
      <w:r>
        <w:rPr>
          <w:rFonts w:ascii="Arial" w:hAnsi="Arial"/>
          <w:b/>
          <w:color w:val="1A365D"/>
          <w:sz w:val="36"/>
        </w:rPr>
        <w:t>Conclusion</w:t>
      </w:r>
    </w:p>
    <w:p>
      <w:pPr>
        <w:spacing w:after="200"/>
      </w:pPr>
      <w:r>
        <w:rPr>
          <w:rFonts w:ascii="Arial" w:hAnsi="Arial"/>
          <w:sz w:val="22"/>
        </w:rPr>
        <w:t>These enhancements would make SCAFFOLD more responsive to the natural heterogeneity present in the personal finance dataset while complementing rather than conflicting with the adaptive FedProx mechanisms. The goal is to have both algorithms "aware" of the same client characteristics but addressing different aspects of the drift problem—FedProx controlling magnitude while SCAFFOLD corrects direction. Implementation should be incremental, with thorough evaluation of each enhancement's impact on convergence speed, final accuracy, and fairness across client tiers.</w:t>
      </w:r>
    </w:p>
    <w:p>
      <w:pPr>
        <w:spacing w:after="200"/>
      </w:pPr>
      <w:r>
        <w:rPr>
          <w:rFonts w:ascii="Arial" w:hAnsi="Arial"/>
          <w:sz w:val="22"/>
        </w:rPr>
        <w:t>The combination of these strategies should yield improved model performance across diverse demographic segments while maintaining the privacy-preserving properties essential for financial institution collaboration scenarios.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