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432847" w14:textId="2D47B1BF" w:rsidR="00FC6E9F" w:rsidRPr="00E77651" w:rsidRDefault="00FC6E9F" w:rsidP="00E77651">
      <w:pPr>
        <w:contextualSpacing/>
        <w:jc w:val="both"/>
        <w:rPr>
          <w:rFonts w:asciiTheme="minorHAnsi" w:hAnsiTheme="minorHAnsi"/>
          <w:b/>
          <w:bCs/>
          <w:sz w:val="18"/>
          <w:szCs w:val="18"/>
        </w:rPr>
      </w:pPr>
      <w:r w:rsidRPr="00E77651">
        <w:rPr>
          <w:rFonts w:asciiTheme="minorHAnsi" w:hAnsiTheme="minorHAnsi"/>
          <w:b/>
          <w:bCs/>
          <w:sz w:val="18"/>
          <w:szCs w:val="18"/>
        </w:rPr>
        <w:t>Increasing Appointment Attendance in Skinsmiths UK Clients Using Behaviourally Weighted Text Messages</w:t>
      </w:r>
    </w:p>
    <w:p w14:paraId="68212696" w14:textId="4C74AAA2" w:rsidR="003E3ADF" w:rsidRPr="00E77651" w:rsidRDefault="003E3ADF" w:rsidP="00E77651">
      <w:pPr>
        <w:contextualSpacing/>
        <w:jc w:val="both"/>
        <w:rPr>
          <w:rFonts w:asciiTheme="minorHAnsi" w:hAnsiTheme="minorHAnsi"/>
          <w:sz w:val="18"/>
          <w:szCs w:val="18"/>
        </w:rPr>
      </w:pPr>
    </w:p>
    <w:p w14:paraId="4B2FB062" w14:textId="12633F37" w:rsidR="00B3245F" w:rsidRPr="00E77651" w:rsidRDefault="00B3245F" w:rsidP="00FD4751">
      <w:pPr>
        <w:contextualSpacing/>
        <w:jc w:val="center"/>
        <w:outlineLvl w:val="1"/>
        <w:rPr>
          <w:rFonts w:asciiTheme="minorHAnsi" w:hAnsiTheme="minorHAnsi"/>
          <w:b/>
          <w:bCs/>
          <w:sz w:val="18"/>
          <w:szCs w:val="18"/>
        </w:rPr>
      </w:pPr>
      <w:r w:rsidRPr="00E77651">
        <w:rPr>
          <w:rFonts w:asciiTheme="minorHAnsi" w:hAnsiTheme="minorHAnsi"/>
          <w:b/>
          <w:bCs/>
          <w:sz w:val="18"/>
          <w:szCs w:val="18"/>
        </w:rPr>
        <w:t>Introduction</w:t>
      </w:r>
    </w:p>
    <w:p w14:paraId="1773FA1F" w14:textId="636B4BF2" w:rsidR="00B3245F" w:rsidRPr="00E77651" w:rsidRDefault="00B3245F" w:rsidP="00DB0F83">
      <w:pPr>
        <w:contextualSpacing/>
        <w:jc w:val="both"/>
        <w:rPr>
          <w:rFonts w:asciiTheme="minorHAnsi" w:hAnsiTheme="minorHAnsi"/>
          <w:color w:val="0E0E0E"/>
          <w:sz w:val="18"/>
          <w:szCs w:val="18"/>
        </w:rPr>
      </w:pPr>
      <w:r w:rsidRPr="00E77651">
        <w:rPr>
          <w:rFonts w:asciiTheme="minorHAnsi" w:hAnsiTheme="minorHAnsi"/>
          <w:color w:val="0E0E0E"/>
          <w:sz w:val="18"/>
          <w:szCs w:val="18"/>
        </w:rPr>
        <w:t xml:space="preserve">No-shows, defined as clients who schedule an appointment but neither attend nor cancel it (Bean et al., 2014; Dantas et al., 2018), are a widespread operational challenge across service </w:t>
      </w:r>
      <w:r w:rsidR="00B84828" w:rsidRPr="00E77651">
        <w:rPr>
          <w:rFonts w:asciiTheme="minorHAnsi" w:hAnsiTheme="minorHAnsi"/>
          <w:color w:val="0E0E0E"/>
          <w:sz w:val="18"/>
          <w:szCs w:val="18"/>
        </w:rPr>
        <w:t>industries.</w:t>
      </w:r>
      <w:r w:rsidRPr="00E77651">
        <w:rPr>
          <w:rFonts w:asciiTheme="minorHAnsi" w:hAnsiTheme="minorHAnsi"/>
          <w:sz w:val="18"/>
          <w:szCs w:val="18"/>
        </w:rPr>
        <w:t xml:space="preserve"> In the healthcare and beauty sectors alone, missed appointments result in significant losses of time, revenue, and resource availability. In the UK NHS system, for example, an estimated 7.2 million outpatient appointments were missed in 2019, costing approximately £1 billion annually (NHS Digital, 2020). For smaller, membership-based services like Skinsmiths UK, even modest improvements in attendance could translate into measurable improvements in staff utilisation and customer retention.</w:t>
      </w:r>
    </w:p>
    <w:p w14:paraId="48199F7C" w14:textId="77777777" w:rsidR="00DB0F83" w:rsidRDefault="00DB0F83" w:rsidP="00DB0F83">
      <w:pPr>
        <w:contextualSpacing/>
        <w:jc w:val="both"/>
        <w:rPr>
          <w:rFonts w:asciiTheme="minorHAnsi" w:hAnsiTheme="minorHAnsi"/>
          <w:sz w:val="18"/>
          <w:szCs w:val="18"/>
        </w:rPr>
      </w:pPr>
    </w:p>
    <w:p w14:paraId="16D63BEA" w14:textId="3DECFFAF" w:rsidR="00B3245F" w:rsidRPr="00E77651" w:rsidRDefault="00B3245F" w:rsidP="00DB0F83">
      <w:pPr>
        <w:contextualSpacing/>
        <w:jc w:val="both"/>
        <w:rPr>
          <w:rFonts w:asciiTheme="minorHAnsi" w:hAnsiTheme="minorHAnsi"/>
          <w:sz w:val="18"/>
          <w:szCs w:val="18"/>
        </w:rPr>
      </w:pPr>
      <w:r w:rsidRPr="00E77651">
        <w:rPr>
          <w:rFonts w:asciiTheme="minorHAnsi" w:hAnsiTheme="minorHAnsi"/>
          <w:sz w:val="18"/>
          <w:szCs w:val="18"/>
        </w:rPr>
        <w:t>Several interventions have been employed to address this issue, ranging from requiring deposits or upfront payments, to implementing strict cancellation policies. However, these approaches often introduce friction into the customer journey and may be perceived as punitive or off-putting — especially for new clients. In contexts where the service is offered for free or at an introductory rate, as with Skinsmiths’ initial consultations, such sanctions are likely to be counterproductive, undermining trust and engagement.</w:t>
      </w:r>
    </w:p>
    <w:p w14:paraId="1DBC8030" w14:textId="77777777" w:rsidR="00DB0F83" w:rsidRDefault="00DB0F83" w:rsidP="00DB0F83">
      <w:pPr>
        <w:contextualSpacing/>
        <w:jc w:val="both"/>
        <w:rPr>
          <w:rFonts w:asciiTheme="minorHAnsi" w:hAnsiTheme="minorHAnsi"/>
          <w:sz w:val="18"/>
          <w:szCs w:val="18"/>
        </w:rPr>
      </w:pPr>
    </w:p>
    <w:p w14:paraId="33AA7BCD" w14:textId="2DE0A23B" w:rsidR="00B3245F" w:rsidRPr="00E77651" w:rsidRDefault="00B3245F" w:rsidP="00DB0F83">
      <w:pPr>
        <w:contextualSpacing/>
        <w:jc w:val="both"/>
        <w:rPr>
          <w:rFonts w:asciiTheme="minorHAnsi" w:hAnsiTheme="minorHAnsi"/>
          <w:sz w:val="18"/>
          <w:szCs w:val="18"/>
        </w:rPr>
      </w:pPr>
      <w:r w:rsidRPr="00E77651">
        <w:rPr>
          <w:rFonts w:asciiTheme="minorHAnsi" w:hAnsiTheme="minorHAnsi"/>
          <w:sz w:val="18"/>
          <w:szCs w:val="18"/>
        </w:rPr>
        <w:t>A growing body of behavioural science literature suggests that such behaviour may be influenced more effectively — and less intrusively — through the strategic use of nudges. As defined by Thaler and Sunstein (2008), nudges are subtle changes in choice architecture that influence behaviour in predictable ways without restricting options or significantly altering incentives.</w:t>
      </w:r>
    </w:p>
    <w:p w14:paraId="51514389" w14:textId="77777777" w:rsidR="00DB0F83" w:rsidRDefault="00DB0F83" w:rsidP="00DB0F83">
      <w:pPr>
        <w:contextualSpacing/>
        <w:jc w:val="both"/>
        <w:rPr>
          <w:rFonts w:asciiTheme="minorHAnsi" w:hAnsiTheme="minorHAnsi"/>
          <w:sz w:val="18"/>
          <w:szCs w:val="18"/>
        </w:rPr>
      </w:pPr>
    </w:p>
    <w:p w14:paraId="2E5C2F08" w14:textId="01EF3858" w:rsidR="00B3245F" w:rsidRPr="00E77651" w:rsidRDefault="00B3245F" w:rsidP="00DB0F83">
      <w:pPr>
        <w:contextualSpacing/>
        <w:jc w:val="both"/>
        <w:rPr>
          <w:rFonts w:asciiTheme="minorHAnsi" w:hAnsiTheme="minorHAnsi"/>
          <w:sz w:val="18"/>
          <w:szCs w:val="18"/>
        </w:rPr>
      </w:pPr>
      <w:r w:rsidRPr="00E77651">
        <w:rPr>
          <w:rFonts w:asciiTheme="minorHAnsi" w:hAnsiTheme="minorHAnsi"/>
          <w:sz w:val="18"/>
          <w:szCs w:val="18"/>
        </w:rPr>
        <w:t>One of the most promising methods for delivering nudges is through text messaging; a low-cost, high-frequency channel already integrated into the booking journey. Evidence from the Behavioural Insights Team (BIT) and related researchers has demonstrated that behaviourally informed messages can improve attendance across a range of domains:</w:t>
      </w:r>
    </w:p>
    <w:p w14:paraId="21850B4B" w14:textId="77777777" w:rsidR="00B3245F" w:rsidRPr="00E77651" w:rsidRDefault="00B3245F" w:rsidP="00E77651">
      <w:pPr>
        <w:numPr>
          <w:ilvl w:val="0"/>
          <w:numId w:val="2"/>
        </w:numPr>
        <w:contextualSpacing/>
        <w:jc w:val="both"/>
        <w:rPr>
          <w:rFonts w:asciiTheme="minorHAnsi" w:hAnsiTheme="minorHAnsi"/>
          <w:sz w:val="18"/>
          <w:szCs w:val="18"/>
        </w:rPr>
      </w:pPr>
      <w:r w:rsidRPr="00E77651">
        <w:rPr>
          <w:rFonts w:asciiTheme="minorHAnsi" w:hAnsiTheme="minorHAnsi"/>
          <w:sz w:val="18"/>
          <w:szCs w:val="18"/>
        </w:rPr>
        <w:t>In the NHS, adding a single sentence to appointment reminders (e.g., “Not attending costs the NHS £160”) reduced missed appointments by 25% across two randomised controlled trials (Hallsworth et al., 2015).</w:t>
      </w:r>
    </w:p>
    <w:p w14:paraId="080EF75E" w14:textId="77777777" w:rsidR="00B3245F" w:rsidRPr="00E77651" w:rsidRDefault="00B3245F" w:rsidP="00E77651">
      <w:pPr>
        <w:numPr>
          <w:ilvl w:val="0"/>
          <w:numId w:val="2"/>
        </w:numPr>
        <w:contextualSpacing/>
        <w:jc w:val="both"/>
        <w:rPr>
          <w:rFonts w:asciiTheme="minorHAnsi" w:hAnsiTheme="minorHAnsi"/>
          <w:sz w:val="18"/>
          <w:szCs w:val="18"/>
        </w:rPr>
      </w:pPr>
      <w:r w:rsidRPr="00E77651">
        <w:rPr>
          <w:rFonts w:asciiTheme="minorHAnsi" w:hAnsiTheme="minorHAnsi"/>
          <w:sz w:val="18"/>
          <w:szCs w:val="18"/>
        </w:rPr>
        <w:t>BIT’s school attendance trials found that sending weekly SMS updates to parents about missed days increased the proportion of students maintaining good attendance (≥95%) by 4 percentage points (BIT, 2012).</w:t>
      </w:r>
    </w:p>
    <w:p w14:paraId="413490B0" w14:textId="77777777" w:rsidR="00B3245F" w:rsidRPr="00E77651" w:rsidRDefault="00B3245F" w:rsidP="00E77651">
      <w:pPr>
        <w:numPr>
          <w:ilvl w:val="0"/>
          <w:numId w:val="2"/>
        </w:numPr>
        <w:contextualSpacing/>
        <w:jc w:val="both"/>
        <w:rPr>
          <w:rFonts w:asciiTheme="minorHAnsi" w:hAnsiTheme="minorHAnsi"/>
          <w:sz w:val="18"/>
          <w:szCs w:val="18"/>
        </w:rPr>
      </w:pPr>
      <w:r w:rsidRPr="00E77651">
        <w:rPr>
          <w:rFonts w:asciiTheme="minorHAnsi" w:hAnsiTheme="minorHAnsi"/>
          <w:sz w:val="18"/>
          <w:szCs w:val="18"/>
        </w:rPr>
        <w:t>In mental health services, supportive and personalised text messages increased the rate of therapy session completion (BIT, 2020).</w:t>
      </w:r>
    </w:p>
    <w:p w14:paraId="3BA366E5" w14:textId="7E8FB09C" w:rsidR="00B3245F" w:rsidRPr="00E77651" w:rsidRDefault="00B3245F" w:rsidP="00E77651">
      <w:pPr>
        <w:numPr>
          <w:ilvl w:val="0"/>
          <w:numId w:val="2"/>
        </w:numPr>
        <w:contextualSpacing/>
        <w:jc w:val="both"/>
        <w:rPr>
          <w:rFonts w:asciiTheme="minorHAnsi" w:hAnsiTheme="minorHAnsi"/>
          <w:sz w:val="18"/>
          <w:szCs w:val="18"/>
        </w:rPr>
      </w:pPr>
      <w:r w:rsidRPr="00E77651">
        <w:rPr>
          <w:rFonts w:asciiTheme="minorHAnsi" w:hAnsiTheme="minorHAnsi"/>
          <w:sz w:val="18"/>
          <w:szCs w:val="18"/>
        </w:rPr>
        <w:t>In the context of further education, behaviourally guided text messages were used to improve attendance and retention in maths and English programmes (BIT, 2018).</w:t>
      </w:r>
    </w:p>
    <w:p w14:paraId="3F462B12" w14:textId="77777777" w:rsidR="00DB0F83" w:rsidRDefault="00DB0F83" w:rsidP="00DB0F83">
      <w:pPr>
        <w:contextualSpacing/>
        <w:jc w:val="both"/>
        <w:rPr>
          <w:rFonts w:asciiTheme="minorHAnsi" w:hAnsiTheme="minorHAnsi"/>
          <w:sz w:val="18"/>
          <w:szCs w:val="18"/>
        </w:rPr>
      </w:pPr>
    </w:p>
    <w:p w14:paraId="06AF4360" w14:textId="680913B6" w:rsidR="00B3245F" w:rsidRPr="00E77651" w:rsidRDefault="00B3245F" w:rsidP="00DB0F83">
      <w:pPr>
        <w:contextualSpacing/>
        <w:jc w:val="both"/>
        <w:rPr>
          <w:rFonts w:asciiTheme="minorHAnsi" w:hAnsiTheme="minorHAnsi"/>
          <w:sz w:val="18"/>
          <w:szCs w:val="18"/>
        </w:rPr>
      </w:pPr>
      <w:r w:rsidRPr="00E77651">
        <w:rPr>
          <w:rFonts w:asciiTheme="minorHAnsi" w:hAnsiTheme="minorHAnsi"/>
          <w:sz w:val="18"/>
          <w:szCs w:val="18"/>
        </w:rPr>
        <w:t>Taken together, these findings suggest that the behavioural principles of personalisation, social identity, and reciprocity may be powerful tools in encouraging appointment attendance</w:t>
      </w:r>
      <w:r w:rsidR="009D4C23" w:rsidRPr="00E77651">
        <w:rPr>
          <w:rFonts w:asciiTheme="minorHAnsi" w:hAnsiTheme="minorHAnsi"/>
          <w:sz w:val="18"/>
          <w:szCs w:val="18"/>
        </w:rPr>
        <w:t xml:space="preserve">, </w:t>
      </w:r>
      <w:r w:rsidRPr="00E77651">
        <w:rPr>
          <w:rFonts w:asciiTheme="minorHAnsi" w:hAnsiTheme="minorHAnsi"/>
          <w:sz w:val="18"/>
          <w:szCs w:val="18"/>
        </w:rPr>
        <w:t>particularly when framed in a way that is warm, respectful, and easily digestible by the client. This project investigates whether similar behavioural nudges can be successfully applied in the commercial wellness space to reduce no-shows at Skinsmiths UK clinics.</w:t>
      </w:r>
    </w:p>
    <w:p w14:paraId="181E71CD" w14:textId="77777777" w:rsidR="00B3245F" w:rsidRPr="00E77651" w:rsidRDefault="00B3245F" w:rsidP="00E77651">
      <w:pPr>
        <w:contextualSpacing/>
        <w:jc w:val="both"/>
        <w:rPr>
          <w:rFonts w:asciiTheme="minorHAnsi" w:hAnsiTheme="minorHAnsi"/>
          <w:sz w:val="18"/>
          <w:szCs w:val="18"/>
        </w:rPr>
      </w:pPr>
    </w:p>
    <w:p w14:paraId="311FED8B" w14:textId="3B2019EB" w:rsidR="00FC6E9F" w:rsidRPr="00E77651" w:rsidRDefault="00FC6E9F" w:rsidP="00FD4751">
      <w:pPr>
        <w:contextualSpacing/>
        <w:jc w:val="center"/>
        <w:rPr>
          <w:rFonts w:asciiTheme="minorHAnsi" w:hAnsiTheme="minorHAnsi"/>
          <w:b/>
          <w:bCs/>
          <w:sz w:val="18"/>
          <w:szCs w:val="18"/>
        </w:rPr>
      </w:pPr>
      <w:r w:rsidRPr="00E77651">
        <w:rPr>
          <w:rFonts w:asciiTheme="minorHAnsi" w:hAnsiTheme="minorHAnsi"/>
          <w:b/>
          <w:bCs/>
          <w:sz w:val="18"/>
          <w:szCs w:val="18"/>
        </w:rPr>
        <w:t>Problem statement</w:t>
      </w:r>
    </w:p>
    <w:p w14:paraId="56886E87" w14:textId="583B942D" w:rsidR="003E3ADF" w:rsidRDefault="003E3ADF" w:rsidP="00DB0F83">
      <w:pPr>
        <w:contextualSpacing/>
        <w:jc w:val="both"/>
        <w:rPr>
          <w:rFonts w:asciiTheme="minorHAnsi" w:hAnsiTheme="minorHAnsi"/>
          <w:color w:val="0E0E0E"/>
          <w:sz w:val="18"/>
          <w:szCs w:val="18"/>
        </w:rPr>
      </w:pPr>
      <w:r w:rsidRPr="00E77651">
        <w:rPr>
          <w:rFonts w:asciiTheme="minorHAnsi" w:hAnsiTheme="minorHAnsi"/>
          <w:color w:val="0E0E0E"/>
          <w:sz w:val="18"/>
          <w:szCs w:val="18"/>
        </w:rPr>
        <w:t>Skinsmiths UK, a membership-based skincare clinic, offers free consultations and introductory treatments as part of its client acquisition strategy. However, this approach has resulted in a high rate of no-shows—clients failing to attend or cancel their booked appointments. This behaviour leads to inefficiencies in clinic operations, lost revenue, and missed opportunities to convert first-time clients into long-term members. Traditional deterrents like deposits or penalties risk introducing friction into the customer journey. This project investigates whether behaviourally informed SMS reminders—incorporating nudges such as personalisation and reciprocity—can reduce no-show rates while maintaining a positive client experience.</w:t>
      </w:r>
    </w:p>
    <w:p w14:paraId="4E8922AB" w14:textId="77777777" w:rsidR="00DB0F83" w:rsidRPr="00E77651" w:rsidRDefault="00DB0F83" w:rsidP="00E77651">
      <w:pPr>
        <w:ind w:firstLine="720"/>
        <w:contextualSpacing/>
        <w:jc w:val="both"/>
        <w:rPr>
          <w:rFonts w:asciiTheme="minorHAnsi" w:hAnsiTheme="minorHAnsi"/>
          <w:color w:val="0E0E0E"/>
          <w:sz w:val="18"/>
          <w:szCs w:val="18"/>
        </w:rPr>
      </w:pPr>
    </w:p>
    <w:p w14:paraId="3F997B3E" w14:textId="13A74D1E" w:rsidR="00FC6E9F" w:rsidRPr="00E77651" w:rsidRDefault="00FC6E9F" w:rsidP="00FD4751">
      <w:pPr>
        <w:contextualSpacing/>
        <w:jc w:val="center"/>
        <w:rPr>
          <w:rFonts w:asciiTheme="minorHAnsi" w:hAnsiTheme="minorHAnsi"/>
          <w:b/>
          <w:bCs/>
          <w:sz w:val="18"/>
          <w:szCs w:val="18"/>
        </w:rPr>
      </w:pPr>
      <w:r w:rsidRPr="00E77651">
        <w:rPr>
          <w:rFonts w:asciiTheme="minorHAnsi" w:hAnsiTheme="minorHAnsi"/>
          <w:b/>
          <w:bCs/>
          <w:sz w:val="18"/>
          <w:szCs w:val="18"/>
        </w:rPr>
        <w:t>Experimental design</w:t>
      </w:r>
    </w:p>
    <w:p w14:paraId="394E2347" w14:textId="75647F6E" w:rsidR="003E3ADF" w:rsidRPr="00E77651" w:rsidRDefault="003E3ADF" w:rsidP="00DB0F83">
      <w:pPr>
        <w:pStyle w:val="p1"/>
        <w:spacing w:before="0" w:beforeAutospacing="0" w:after="0" w:afterAutospacing="0"/>
        <w:contextualSpacing/>
        <w:jc w:val="both"/>
        <w:rPr>
          <w:rFonts w:asciiTheme="minorHAnsi" w:hAnsiTheme="minorHAnsi"/>
          <w:sz w:val="18"/>
          <w:szCs w:val="18"/>
        </w:rPr>
      </w:pPr>
      <w:r w:rsidRPr="00E77651">
        <w:rPr>
          <w:rFonts w:asciiTheme="minorHAnsi" w:hAnsiTheme="minorHAnsi"/>
          <w:sz w:val="18"/>
          <w:szCs w:val="18"/>
        </w:rPr>
        <w:t xml:space="preserve">This field experiment was conducted across Skinsmiths UK clinics over </w:t>
      </w:r>
      <w:r w:rsidR="009D4C23" w:rsidRPr="00E77651">
        <w:rPr>
          <w:rFonts w:asciiTheme="minorHAnsi" w:hAnsiTheme="minorHAnsi"/>
          <w:sz w:val="18"/>
          <w:szCs w:val="18"/>
        </w:rPr>
        <w:t>an</w:t>
      </w:r>
      <w:r w:rsidRPr="00E77651">
        <w:rPr>
          <w:rFonts w:asciiTheme="minorHAnsi" w:hAnsiTheme="minorHAnsi"/>
          <w:sz w:val="18"/>
          <w:szCs w:val="18"/>
        </w:rPr>
        <w:t xml:space="preserve"> </w:t>
      </w:r>
      <w:r w:rsidR="00B84828" w:rsidRPr="00E77651">
        <w:rPr>
          <w:rFonts w:asciiTheme="minorHAnsi" w:hAnsiTheme="minorHAnsi"/>
          <w:sz w:val="18"/>
          <w:szCs w:val="18"/>
        </w:rPr>
        <w:t>eight</w:t>
      </w:r>
      <w:r w:rsidRPr="00E77651">
        <w:rPr>
          <w:rFonts w:asciiTheme="minorHAnsi" w:hAnsiTheme="minorHAnsi"/>
          <w:sz w:val="18"/>
          <w:szCs w:val="18"/>
        </w:rPr>
        <w:t>-week period, with the goal of reducing appointment no-shows using behaviourally informed SMS reminders.</w:t>
      </w:r>
      <w:r w:rsidR="009D4C23" w:rsidRPr="00E77651">
        <w:rPr>
          <w:rFonts w:asciiTheme="minorHAnsi" w:hAnsiTheme="minorHAnsi"/>
          <w:sz w:val="18"/>
          <w:szCs w:val="18"/>
        </w:rPr>
        <w:t xml:space="preserve"> </w:t>
      </w:r>
      <w:r w:rsidRPr="00E77651">
        <w:rPr>
          <w:rFonts w:asciiTheme="minorHAnsi" w:hAnsiTheme="minorHAnsi"/>
          <w:sz w:val="18"/>
          <w:szCs w:val="18"/>
        </w:rPr>
        <w:t xml:space="preserve">Text messages were sent automatically via the client booking system at the time of appointment scheduling, ensuring the intervention was both </w:t>
      </w:r>
      <w:r w:rsidRPr="00E77651">
        <w:rPr>
          <w:rStyle w:val="s1"/>
          <w:rFonts w:asciiTheme="minorHAnsi" w:eastAsiaTheme="majorEastAsia" w:hAnsiTheme="minorHAnsi"/>
          <w:sz w:val="18"/>
          <w:szCs w:val="18"/>
        </w:rPr>
        <w:t>simple to implement</w:t>
      </w:r>
      <w:r w:rsidRPr="00E77651">
        <w:rPr>
          <w:rFonts w:asciiTheme="minorHAnsi" w:hAnsiTheme="minorHAnsi"/>
          <w:sz w:val="18"/>
          <w:szCs w:val="18"/>
        </w:rPr>
        <w:t xml:space="preserve"> and </w:t>
      </w:r>
      <w:r w:rsidRPr="00E77651">
        <w:rPr>
          <w:rStyle w:val="s1"/>
          <w:rFonts w:asciiTheme="minorHAnsi" w:eastAsiaTheme="majorEastAsia" w:hAnsiTheme="minorHAnsi"/>
          <w:sz w:val="18"/>
          <w:szCs w:val="18"/>
        </w:rPr>
        <w:t>consistent in delivery</w:t>
      </w:r>
      <w:r w:rsidRPr="00E77651">
        <w:rPr>
          <w:rFonts w:asciiTheme="minorHAnsi" w:hAnsiTheme="minorHAnsi"/>
          <w:sz w:val="18"/>
          <w:szCs w:val="18"/>
        </w:rPr>
        <w:t>. By embedding nudges into these existing operational touchpoints, the intervention introduced no additional friction to the client journey and required no changes to staff behaviour.</w:t>
      </w:r>
    </w:p>
    <w:p w14:paraId="3F4B6A1F" w14:textId="77777777" w:rsidR="00DB0F83" w:rsidRDefault="00DB0F83" w:rsidP="00DB0F83">
      <w:pPr>
        <w:pStyle w:val="p1"/>
        <w:spacing w:before="0" w:beforeAutospacing="0" w:after="0" w:afterAutospacing="0"/>
        <w:contextualSpacing/>
        <w:jc w:val="both"/>
        <w:rPr>
          <w:rFonts w:asciiTheme="minorHAnsi" w:hAnsiTheme="minorHAnsi"/>
          <w:sz w:val="18"/>
          <w:szCs w:val="18"/>
        </w:rPr>
      </w:pPr>
    </w:p>
    <w:p w14:paraId="778DAC93" w14:textId="44BDC56B" w:rsidR="003E3ADF" w:rsidRPr="00E77651" w:rsidRDefault="003E3ADF" w:rsidP="00DB0F83">
      <w:pPr>
        <w:pStyle w:val="p1"/>
        <w:spacing w:before="0" w:beforeAutospacing="0" w:after="0" w:afterAutospacing="0"/>
        <w:contextualSpacing/>
        <w:jc w:val="both"/>
        <w:rPr>
          <w:rFonts w:asciiTheme="minorHAnsi" w:hAnsiTheme="minorHAnsi"/>
          <w:sz w:val="18"/>
          <w:szCs w:val="18"/>
        </w:rPr>
      </w:pPr>
      <w:r w:rsidRPr="00E77651">
        <w:rPr>
          <w:rFonts w:asciiTheme="minorHAnsi" w:hAnsiTheme="minorHAnsi"/>
          <w:sz w:val="18"/>
          <w:szCs w:val="18"/>
        </w:rPr>
        <w:t xml:space="preserve">Clients were randomly assigned to one of four experimental conditions, each receiving a different version of the SMS reminder. These conditions varied systematically in their use of </w:t>
      </w:r>
      <w:r w:rsidRPr="00E77651">
        <w:rPr>
          <w:rStyle w:val="s1"/>
          <w:rFonts w:asciiTheme="minorHAnsi" w:eastAsiaTheme="majorEastAsia" w:hAnsiTheme="minorHAnsi"/>
          <w:sz w:val="18"/>
          <w:szCs w:val="18"/>
        </w:rPr>
        <w:t>behavioural components</w:t>
      </w:r>
      <w:r w:rsidRPr="00E77651">
        <w:rPr>
          <w:rFonts w:asciiTheme="minorHAnsi" w:hAnsiTheme="minorHAnsi"/>
          <w:sz w:val="18"/>
          <w:szCs w:val="18"/>
        </w:rPr>
        <w:t xml:space="preserve">, specifically </w:t>
      </w:r>
      <w:r w:rsidRPr="00E77651">
        <w:rPr>
          <w:rStyle w:val="s1"/>
          <w:rFonts w:asciiTheme="minorHAnsi" w:eastAsiaTheme="majorEastAsia" w:hAnsiTheme="minorHAnsi"/>
          <w:sz w:val="18"/>
          <w:szCs w:val="18"/>
        </w:rPr>
        <w:t>personalisation</w:t>
      </w:r>
      <w:r w:rsidRPr="00E77651">
        <w:rPr>
          <w:rFonts w:asciiTheme="minorHAnsi" w:hAnsiTheme="minorHAnsi"/>
          <w:sz w:val="18"/>
          <w:szCs w:val="18"/>
        </w:rPr>
        <w:t xml:space="preserve"> and </w:t>
      </w:r>
      <w:r w:rsidRPr="00E77651">
        <w:rPr>
          <w:rStyle w:val="s1"/>
          <w:rFonts w:asciiTheme="minorHAnsi" w:eastAsiaTheme="majorEastAsia" w:hAnsiTheme="minorHAnsi"/>
          <w:sz w:val="18"/>
          <w:szCs w:val="18"/>
        </w:rPr>
        <w:t>reciprocity</w:t>
      </w:r>
      <w:r w:rsidRPr="00E77651">
        <w:rPr>
          <w:rFonts w:asciiTheme="minorHAnsi" w:hAnsiTheme="minorHAnsi"/>
          <w:sz w:val="18"/>
          <w:szCs w:val="18"/>
        </w:rPr>
        <w:t>, to test their independent and combined effects on attendance behaviour.</w:t>
      </w:r>
    </w:p>
    <w:p w14:paraId="74407207" w14:textId="77777777" w:rsidR="00DB0F83" w:rsidRDefault="00DB0F83" w:rsidP="00DB0F83">
      <w:pPr>
        <w:pStyle w:val="p1"/>
        <w:spacing w:before="0" w:beforeAutospacing="0" w:after="0" w:afterAutospacing="0"/>
        <w:contextualSpacing/>
        <w:jc w:val="both"/>
        <w:rPr>
          <w:rFonts w:asciiTheme="minorHAnsi" w:hAnsiTheme="minorHAnsi"/>
          <w:sz w:val="18"/>
          <w:szCs w:val="18"/>
        </w:rPr>
      </w:pPr>
    </w:p>
    <w:p w14:paraId="087906BC" w14:textId="7E03D648" w:rsidR="003E3ADF" w:rsidRPr="00E77651" w:rsidRDefault="003E3ADF" w:rsidP="00DB0F83">
      <w:pPr>
        <w:pStyle w:val="p1"/>
        <w:spacing w:before="0" w:beforeAutospacing="0" w:after="0" w:afterAutospacing="0"/>
        <w:contextualSpacing/>
        <w:jc w:val="both"/>
        <w:rPr>
          <w:rFonts w:asciiTheme="minorHAnsi" w:hAnsiTheme="minorHAnsi"/>
          <w:sz w:val="18"/>
          <w:szCs w:val="18"/>
        </w:rPr>
      </w:pPr>
      <w:r w:rsidRPr="00E77651">
        <w:rPr>
          <w:rFonts w:asciiTheme="minorHAnsi" w:hAnsiTheme="minorHAnsi"/>
          <w:sz w:val="18"/>
          <w:szCs w:val="18"/>
        </w:rPr>
        <w:t>To ensure all messages adhered to the 160-character SMS limit, the text messages were carefully formulated to remain concise while still delivering the behavioural content. Approximate character counts (excluding name variability) were:</w:t>
      </w:r>
    </w:p>
    <w:p w14:paraId="2604083B" w14:textId="77777777" w:rsidR="003E3ADF" w:rsidRPr="00E77651" w:rsidRDefault="003E3ADF" w:rsidP="00E77651">
      <w:pPr>
        <w:pStyle w:val="p1"/>
        <w:numPr>
          <w:ilvl w:val="0"/>
          <w:numId w:val="7"/>
        </w:numPr>
        <w:spacing w:before="0" w:beforeAutospacing="0" w:after="0" w:afterAutospacing="0"/>
        <w:contextualSpacing/>
        <w:jc w:val="both"/>
        <w:rPr>
          <w:rFonts w:asciiTheme="minorHAnsi" w:hAnsiTheme="minorHAnsi"/>
          <w:sz w:val="18"/>
          <w:szCs w:val="18"/>
        </w:rPr>
      </w:pPr>
      <w:r w:rsidRPr="00E77651">
        <w:rPr>
          <w:rStyle w:val="s1"/>
          <w:rFonts w:asciiTheme="minorHAnsi" w:eastAsiaTheme="majorEastAsia" w:hAnsiTheme="minorHAnsi"/>
          <w:sz w:val="18"/>
          <w:szCs w:val="18"/>
        </w:rPr>
        <w:lastRenderedPageBreak/>
        <w:t>Control</w:t>
      </w:r>
      <w:r w:rsidRPr="00E77651">
        <w:rPr>
          <w:rFonts w:asciiTheme="minorHAnsi" w:hAnsiTheme="minorHAnsi"/>
          <w:sz w:val="18"/>
          <w:szCs w:val="18"/>
        </w:rPr>
        <w:t xml:space="preserve"> and </w:t>
      </w:r>
      <w:r w:rsidRPr="00E77651">
        <w:rPr>
          <w:rStyle w:val="s1"/>
          <w:rFonts w:asciiTheme="minorHAnsi" w:eastAsiaTheme="majorEastAsia" w:hAnsiTheme="minorHAnsi"/>
          <w:sz w:val="18"/>
          <w:szCs w:val="18"/>
        </w:rPr>
        <w:t>+Scheduler</w:t>
      </w:r>
      <w:r w:rsidRPr="00E77651">
        <w:rPr>
          <w:rFonts w:asciiTheme="minorHAnsi" w:hAnsiTheme="minorHAnsi"/>
          <w:sz w:val="18"/>
          <w:szCs w:val="18"/>
        </w:rPr>
        <w:t>: ~115 characters</w:t>
      </w:r>
    </w:p>
    <w:p w14:paraId="03BC802D" w14:textId="77777777" w:rsidR="003E3ADF" w:rsidRPr="00E77651" w:rsidRDefault="003E3ADF" w:rsidP="00E77651">
      <w:pPr>
        <w:pStyle w:val="p1"/>
        <w:numPr>
          <w:ilvl w:val="0"/>
          <w:numId w:val="7"/>
        </w:numPr>
        <w:spacing w:before="0" w:beforeAutospacing="0" w:after="0" w:afterAutospacing="0"/>
        <w:contextualSpacing/>
        <w:jc w:val="both"/>
        <w:rPr>
          <w:rFonts w:asciiTheme="minorHAnsi" w:hAnsiTheme="minorHAnsi"/>
          <w:sz w:val="18"/>
          <w:szCs w:val="18"/>
        </w:rPr>
      </w:pPr>
      <w:proofErr w:type="spellStart"/>
      <w:r w:rsidRPr="00E77651">
        <w:rPr>
          <w:rStyle w:val="s1"/>
          <w:rFonts w:asciiTheme="minorHAnsi" w:eastAsiaTheme="majorEastAsia" w:hAnsiTheme="minorHAnsi"/>
          <w:sz w:val="18"/>
          <w:szCs w:val="18"/>
        </w:rPr>
        <w:t>ClientName</w:t>
      </w:r>
      <w:proofErr w:type="spellEnd"/>
      <w:r w:rsidRPr="00E77651">
        <w:rPr>
          <w:rStyle w:val="s1"/>
          <w:rFonts w:asciiTheme="minorHAnsi" w:eastAsiaTheme="majorEastAsia" w:hAnsiTheme="minorHAnsi"/>
          <w:sz w:val="18"/>
          <w:szCs w:val="18"/>
        </w:rPr>
        <w:t xml:space="preserve"> only</w:t>
      </w:r>
      <w:r w:rsidRPr="00E77651">
        <w:rPr>
          <w:rFonts w:asciiTheme="minorHAnsi" w:hAnsiTheme="minorHAnsi"/>
          <w:sz w:val="18"/>
          <w:szCs w:val="18"/>
        </w:rPr>
        <w:t>: ~110 characters</w:t>
      </w:r>
    </w:p>
    <w:p w14:paraId="6D270176" w14:textId="0328BC19" w:rsidR="003E3ADF" w:rsidRPr="00E77651" w:rsidRDefault="003E3ADF" w:rsidP="00E77651">
      <w:pPr>
        <w:pStyle w:val="p1"/>
        <w:numPr>
          <w:ilvl w:val="0"/>
          <w:numId w:val="7"/>
        </w:numPr>
        <w:spacing w:before="0" w:beforeAutospacing="0" w:after="0" w:afterAutospacing="0"/>
        <w:contextualSpacing/>
        <w:jc w:val="both"/>
        <w:rPr>
          <w:rFonts w:asciiTheme="minorHAnsi" w:hAnsiTheme="minorHAnsi"/>
          <w:sz w:val="18"/>
          <w:szCs w:val="18"/>
        </w:rPr>
      </w:pPr>
      <w:r w:rsidRPr="00E77651">
        <w:rPr>
          <w:rStyle w:val="s1"/>
          <w:rFonts w:asciiTheme="minorHAnsi" w:eastAsiaTheme="majorEastAsia" w:hAnsiTheme="minorHAnsi"/>
          <w:sz w:val="18"/>
          <w:szCs w:val="18"/>
        </w:rPr>
        <w:t>+Reciprocity</w:t>
      </w:r>
      <w:r w:rsidRPr="00E77651">
        <w:rPr>
          <w:rFonts w:asciiTheme="minorHAnsi" w:hAnsiTheme="minorHAnsi"/>
          <w:sz w:val="18"/>
          <w:szCs w:val="18"/>
        </w:rPr>
        <w:t>: ~137 characters</w:t>
      </w:r>
    </w:p>
    <w:p w14:paraId="0C6FF60B" w14:textId="77777777" w:rsidR="003E3ADF" w:rsidRPr="00E77651" w:rsidRDefault="003E3ADF" w:rsidP="00DB0F83">
      <w:pPr>
        <w:pStyle w:val="p1"/>
        <w:spacing w:before="0" w:beforeAutospacing="0" w:after="0" w:afterAutospacing="0"/>
        <w:contextualSpacing/>
        <w:jc w:val="both"/>
        <w:rPr>
          <w:rFonts w:asciiTheme="minorHAnsi" w:hAnsiTheme="minorHAnsi"/>
          <w:sz w:val="18"/>
          <w:szCs w:val="18"/>
        </w:rPr>
      </w:pPr>
      <w:r w:rsidRPr="00E77651">
        <w:rPr>
          <w:rFonts w:asciiTheme="minorHAnsi" w:hAnsiTheme="minorHAnsi"/>
          <w:sz w:val="18"/>
          <w:szCs w:val="18"/>
        </w:rPr>
        <w:t>This ensured consistent deliverability across devices and avoided splitting messages, which could undermine their intended impact.</w:t>
      </w:r>
    </w:p>
    <w:p w14:paraId="2F4FE792" w14:textId="77777777" w:rsidR="003E3ADF" w:rsidRPr="00E77651" w:rsidRDefault="003E3ADF" w:rsidP="00E77651">
      <w:pPr>
        <w:pStyle w:val="p2"/>
        <w:spacing w:before="0" w:beforeAutospacing="0" w:after="0" w:afterAutospacing="0"/>
        <w:contextualSpacing/>
        <w:jc w:val="both"/>
        <w:rPr>
          <w:rFonts w:asciiTheme="minorHAnsi" w:hAnsiTheme="minorHAnsi"/>
          <w:sz w:val="18"/>
          <w:szCs w:val="18"/>
        </w:rPr>
      </w:pPr>
    </w:p>
    <w:p w14:paraId="7A4AAC92" w14:textId="11228C00" w:rsidR="003E3ADF" w:rsidRPr="00E77651" w:rsidRDefault="003E3ADF" w:rsidP="00E77651">
      <w:pPr>
        <w:pStyle w:val="p1"/>
        <w:spacing w:before="0" w:beforeAutospacing="0" w:after="0" w:afterAutospacing="0"/>
        <w:contextualSpacing/>
        <w:jc w:val="both"/>
        <w:rPr>
          <w:rFonts w:asciiTheme="minorHAnsi" w:hAnsiTheme="minorHAnsi"/>
          <w:sz w:val="18"/>
          <w:szCs w:val="18"/>
        </w:rPr>
      </w:pPr>
      <w:r w:rsidRPr="00E77651">
        <w:rPr>
          <w:rFonts w:asciiTheme="minorHAnsi" w:hAnsiTheme="minorHAnsi"/>
          <w:sz w:val="18"/>
          <w:szCs w:val="18"/>
        </w:rPr>
        <w:t>The four experimental conditions are outlined in the table below.</w:t>
      </w:r>
    </w:p>
    <w:p w14:paraId="65BDF3BB" w14:textId="2F2DB53B" w:rsidR="00FC6E9F" w:rsidRPr="00E77651" w:rsidRDefault="00FC6E9F" w:rsidP="00E77651">
      <w:pPr>
        <w:contextualSpacing/>
        <w:jc w:val="both"/>
        <w:rPr>
          <w:rFonts w:asciiTheme="minorHAnsi" w:hAnsiTheme="minorHAnsi"/>
          <w:sz w:val="18"/>
          <w:szCs w:val="18"/>
        </w:rPr>
      </w:pPr>
    </w:p>
    <w:tbl>
      <w:tblPr>
        <w:tblW w:w="9848" w:type="dxa"/>
        <w:tblCellSpacing w:w="15" w:type="dxa"/>
        <w:tblCellMar>
          <w:top w:w="15" w:type="dxa"/>
          <w:left w:w="15" w:type="dxa"/>
          <w:bottom w:w="15" w:type="dxa"/>
          <w:right w:w="15" w:type="dxa"/>
        </w:tblCellMar>
        <w:tblLook w:val="04A0" w:firstRow="1" w:lastRow="0" w:firstColumn="1" w:lastColumn="0" w:noHBand="0" w:noVBand="1"/>
      </w:tblPr>
      <w:tblGrid>
        <w:gridCol w:w="1413"/>
        <w:gridCol w:w="3198"/>
        <w:gridCol w:w="1952"/>
        <w:gridCol w:w="3285"/>
      </w:tblGrid>
      <w:tr w:rsidR="003E3ADF" w:rsidRPr="00E77651" w14:paraId="3B18F0ED" w14:textId="77777777" w:rsidTr="003E3ADF">
        <w:trPr>
          <w:trHeight w:val="408"/>
          <w:tblHeader/>
          <w:tblCellSpacing w:w="15" w:type="dxa"/>
        </w:trPr>
        <w:tc>
          <w:tcPr>
            <w:tcW w:w="1368" w:type="dxa"/>
            <w:tcBorders>
              <w:top w:val="single" w:sz="4" w:space="0" w:color="auto"/>
              <w:bottom w:val="single" w:sz="4" w:space="0" w:color="auto"/>
            </w:tcBorders>
            <w:vAlign w:val="center"/>
            <w:hideMark/>
          </w:tcPr>
          <w:p w14:paraId="48AB9EA0" w14:textId="77777777" w:rsidR="003E3ADF" w:rsidRPr="00E77651" w:rsidRDefault="003E3ADF" w:rsidP="00E77651">
            <w:pPr>
              <w:contextualSpacing/>
              <w:jc w:val="both"/>
              <w:rPr>
                <w:rFonts w:asciiTheme="minorHAnsi" w:hAnsiTheme="minorHAnsi"/>
                <w:b/>
                <w:bCs/>
                <w:sz w:val="18"/>
                <w:szCs w:val="18"/>
              </w:rPr>
            </w:pPr>
            <w:r w:rsidRPr="00E77651">
              <w:rPr>
                <w:rFonts w:asciiTheme="minorHAnsi" w:hAnsiTheme="minorHAnsi"/>
                <w:b/>
                <w:bCs/>
                <w:sz w:val="18"/>
                <w:szCs w:val="18"/>
              </w:rPr>
              <w:t>Condition</w:t>
            </w:r>
          </w:p>
        </w:tc>
        <w:tc>
          <w:tcPr>
            <w:tcW w:w="3168" w:type="dxa"/>
            <w:tcBorders>
              <w:top w:val="single" w:sz="4" w:space="0" w:color="auto"/>
              <w:bottom w:val="single" w:sz="4" w:space="0" w:color="auto"/>
            </w:tcBorders>
            <w:vAlign w:val="center"/>
            <w:hideMark/>
          </w:tcPr>
          <w:p w14:paraId="7AF12C79" w14:textId="77777777" w:rsidR="003E3ADF" w:rsidRPr="00E77651" w:rsidRDefault="003E3ADF" w:rsidP="00E77651">
            <w:pPr>
              <w:contextualSpacing/>
              <w:jc w:val="both"/>
              <w:rPr>
                <w:rFonts w:asciiTheme="minorHAnsi" w:hAnsiTheme="minorHAnsi"/>
                <w:b/>
                <w:bCs/>
                <w:sz w:val="18"/>
                <w:szCs w:val="18"/>
              </w:rPr>
            </w:pPr>
            <w:r w:rsidRPr="00E77651">
              <w:rPr>
                <w:rFonts w:asciiTheme="minorHAnsi" w:hAnsiTheme="minorHAnsi"/>
                <w:b/>
                <w:bCs/>
                <w:sz w:val="18"/>
                <w:szCs w:val="18"/>
              </w:rPr>
              <w:t>Message Formulation</w:t>
            </w:r>
          </w:p>
        </w:tc>
        <w:tc>
          <w:tcPr>
            <w:tcW w:w="0" w:type="auto"/>
            <w:tcBorders>
              <w:top w:val="single" w:sz="4" w:space="0" w:color="auto"/>
              <w:bottom w:val="single" w:sz="4" w:space="0" w:color="auto"/>
            </w:tcBorders>
            <w:vAlign w:val="center"/>
            <w:hideMark/>
          </w:tcPr>
          <w:p w14:paraId="114421AF" w14:textId="77777777" w:rsidR="003E3ADF" w:rsidRPr="00E77651" w:rsidRDefault="003E3ADF" w:rsidP="00E77651">
            <w:pPr>
              <w:contextualSpacing/>
              <w:jc w:val="both"/>
              <w:rPr>
                <w:rFonts w:asciiTheme="minorHAnsi" w:hAnsiTheme="minorHAnsi"/>
                <w:b/>
                <w:bCs/>
                <w:sz w:val="18"/>
                <w:szCs w:val="18"/>
              </w:rPr>
            </w:pPr>
            <w:r w:rsidRPr="00E77651">
              <w:rPr>
                <w:rFonts w:asciiTheme="minorHAnsi" w:hAnsiTheme="minorHAnsi"/>
                <w:b/>
                <w:bCs/>
                <w:sz w:val="18"/>
                <w:szCs w:val="18"/>
              </w:rPr>
              <w:t>Behavioural Component(s)</w:t>
            </w:r>
          </w:p>
        </w:tc>
        <w:tc>
          <w:tcPr>
            <w:tcW w:w="0" w:type="auto"/>
            <w:tcBorders>
              <w:top w:val="single" w:sz="4" w:space="0" w:color="auto"/>
              <w:bottom w:val="single" w:sz="4" w:space="0" w:color="auto"/>
            </w:tcBorders>
            <w:vAlign w:val="center"/>
            <w:hideMark/>
          </w:tcPr>
          <w:p w14:paraId="7DCCF67C" w14:textId="77777777" w:rsidR="003E3ADF" w:rsidRPr="00E77651" w:rsidRDefault="003E3ADF" w:rsidP="00E77651">
            <w:pPr>
              <w:contextualSpacing/>
              <w:jc w:val="both"/>
              <w:rPr>
                <w:rFonts w:asciiTheme="minorHAnsi" w:hAnsiTheme="minorHAnsi"/>
                <w:b/>
                <w:bCs/>
                <w:sz w:val="18"/>
                <w:szCs w:val="18"/>
              </w:rPr>
            </w:pPr>
            <w:r w:rsidRPr="00E77651">
              <w:rPr>
                <w:rFonts w:asciiTheme="minorHAnsi" w:hAnsiTheme="minorHAnsi"/>
                <w:b/>
                <w:bCs/>
                <w:sz w:val="18"/>
                <w:szCs w:val="18"/>
              </w:rPr>
              <w:t>Example</w:t>
            </w:r>
          </w:p>
        </w:tc>
      </w:tr>
      <w:tr w:rsidR="003E3ADF" w:rsidRPr="00E77651" w14:paraId="37360D28" w14:textId="77777777" w:rsidTr="003E3ADF">
        <w:trPr>
          <w:trHeight w:val="829"/>
          <w:tblCellSpacing w:w="15" w:type="dxa"/>
        </w:trPr>
        <w:tc>
          <w:tcPr>
            <w:tcW w:w="1368" w:type="dxa"/>
            <w:vAlign w:val="center"/>
            <w:hideMark/>
          </w:tcPr>
          <w:p w14:paraId="46DF93EE" w14:textId="77777777" w:rsidR="003E3ADF" w:rsidRPr="00E77651" w:rsidRDefault="003E3ADF" w:rsidP="00E77651">
            <w:pPr>
              <w:contextualSpacing/>
              <w:jc w:val="both"/>
              <w:rPr>
                <w:rFonts w:asciiTheme="minorHAnsi" w:hAnsiTheme="minorHAnsi"/>
                <w:sz w:val="18"/>
                <w:szCs w:val="18"/>
              </w:rPr>
            </w:pPr>
            <w:r w:rsidRPr="00E77651">
              <w:rPr>
                <w:rFonts w:asciiTheme="minorHAnsi" w:hAnsiTheme="minorHAnsi"/>
                <w:sz w:val="18"/>
                <w:szCs w:val="18"/>
              </w:rPr>
              <w:t>0. Control</w:t>
            </w:r>
          </w:p>
        </w:tc>
        <w:tc>
          <w:tcPr>
            <w:tcW w:w="3168" w:type="dxa"/>
            <w:vAlign w:val="center"/>
            <w:hideMark/>
          </w:tcPr>
          <w:p w14:paraId="0A3AF784" w14:textId="77777777" w:rsidR="003E3ADF" w:rsidRPr="00E77651" w:rsidRDefault="003E3ADF" w:rsidP="00E77651">
            <w:pPr>
              <w:contextualSpacing/>
              <w:jc w:val="both"/>
              <w:rPr>
                <w:rFonts w:asciiTheme="minorHAnsi" w:hAnsiTheme="minorHAnsi"/>
                <w:sz w:val="18"/>
                <w:szCs w:val="18"/>
              </w:rPr>
            </w:pPr>
            <w:r w:rsidRPr="00E77651">
              <w:rPr>
                <w:rFonts w:asciiTheme="minorHAnsi" w:hAnsiTheme="minorHAnsi"/>
                <w:sz w:val="18"/>
                <w:szCs w:val="18"/>
              </w:rPr>
              <w:t>“Hey you! You’re all booked in with [therapist] at Skinsmiths [location] on [date] at [time]. See you there.”</w:t>
            </w:r>
          </w:p>
        </w:tc>
        <w:tc>
          <w:tcPr>
            <w:tcW w:w="0" w:type="auto"/>
            <w:vAlign w:val="center"/>
            <w:hideMark/>
          </w:tcPr>
          <w:p w14:paraId="13364591" w14:textId="77777777" w:rsidR="003E3ADF" w:rsidRPr="00E77651" w:rsidRDefault="003E3ADF" w:rsidP="00E77651">
            <w:pPr>
              <w:contextualSpacing/>
              <w:jc w:val="both"/>
              <w:rPr>
                <w:rFonts w:asciiTheme="minorHAnsi" w:hAnsiTheme="minorHAnsi"/>
                <w:sz w:val="18"/>
                <w:szCs w:val="18"/>
              </w:rPr>
            </w:pPr>
            <w:r w:rsidRPr="00E77651">
              <w:rPr>
                <w:rFonts w:asciiTheme="minorHAnsi" w:hAnsiTheme="minorHAnsi"/>
                <w:sz w:val="18"/>
                <w:szCs w:val="18"/>
              </w:rPr>
              <w:t>None (neutral baseline)</w:t>
            </w:r>
          </w:p>
        </w:tc>
        <w:tc>
          <w:tcPr>
            <w:tcW w:w="0" w:type="auto"/>
            <w:vAlign w:val="center"/>
            <w:hideMark/>
          </w:tcPr>
          <w:p w14:paraId="24179183" w14:textId="77777777" w:rsidR="003E3ADF" w:rsidRPr="00E77651" w:rsidRDefault="003E3ADF" w:rsidP="00E77651">
            <w:pPr>
              <w:contextualSpacing/>
              <w:jc w:val="both"/>
              <w:rPr>
                <w:rFonts w:asciiTheme="minorHAnsi" w:hAnsiTheme="minorHAnsi"/>
                <w:sz w:val="18"/>
                <w:szCs w:val="18"/>
              </w:rPr>
            </w:pPr>
            <w:r w:rsidRPr="00E77651">
              <w:rPr>
                <w:rFonts w:asciiTheme="minorHAnsi" w:hAnsiTheme="minorHAnsi"/>
                <w:sz w:val="18"/>
                <w:szCs w:val="18"/>
              </w:rPr>
              <w:t xml:space="preserve">“Hey you! You’re all booked in with </w:t>
            </w:r>
            <w:proofErr w:type="spellStart"/>
            <w:r w:rsidRPr="00E77651">
              <w:rPr>
                <w:rFonts w:asciiTheme="minorHAnsi" w:hAnsiTheme="minorHAnsi"/>
                <w:sz w:val="18"/>
                <w:szCs w:val="18"/>
              </w:rPr>
              <w:t>Firdosa</w:t>
            </w:r>
            <w:proofErr w:type="spellEnd"/>
            <w:r w:rsidRPr="00E77651">
              <w:rPr>
                <w:rFonts w:asciiTheme="minorHAnsi" w:hAnsiTheme="minorHAnsi"/>
                <w:sz w:val="18"/>
                <w:szCs w:val="18"/>
              </w:rPr>
              <w:t xml:space="preserve"> A. at Skinsmiths Tower Bridge on 30/01/2019 at 05:45 PM.”</w:t>
            </w:r>
          </w:p>
        </w:tc>
      </w:tr>
      <w:tr w:rsidR="003E3ADF" w:rsidRPr="00E77651" w14:paraId="378D08E6" w14:textId="77777777" w:rsidTr="003E3ADF">
        <w:trPr>
          <w:trHeight w:val="817"/>
          <w:tblCellSpacing w:w="15" w:type="dxa"/>
        </w:trPr>
        <w:tc>
          <w:tcPr>
            <w:tcW w:w="1368" w:type="dxa"/>
            <w:vAlign w:val="center"/>
            <w:hideMark/>
          </w:tcPr>
          <w:p w14:paraId="2FA384B5" w14:textId="77777777" w:rsidR="003E3ADF" w:rsidRPr="00E77651" w:rsidRDefault="003E3ADF" w:rsidP="00E77651">
            <w:pPr>
              <w:contextualSpacing/>
              <w:jc w:val="both"/>
              <w:rPr>
                <w:rFonts w:asciiTheme="minorHAnsi" w:hAnsiTheme="minorHAnsi"/>
                <w:sz w:val="18"/>
                <w:szCs w:val="18"/>
              </w:rPr>
            </w:pPr>
            <w:r w:rsidRPr="00E77651">
              <w:rPr>
                <w:rFonts w:asciiTheme="minorHAnsi" w:hAnsiTheme="minorHAnsi"/>
                <w:sz w:val="18"/>
                <w:szCs w:val="18"/>
              </w:rPr>
              <w:t xml:space="preserve">1. </w:t>
            </w:r>
            <w:proofErr w:type="spellStart"/>
            <w:r w:rsidRPr="00E77651">
              <w:rPr>
                <w:rFonts w:asciiTheme="minorHAnsi" w:hAnsiTheme="minorHAnsi"/>
                <w:sz w:val="18"/>
                <w:szCs w:val="18"/>
              </w:rPr>
              <w:t>ClientName</w:t>
            </w:r>
            <w:proofErr w:type="spellEnd"/>
          </w:p>
        </w:tc>
        <w:tc>
          <w:tcPr>
            <w:tcW w:w="3168" w:type="dxa"/>
            <w:vAlign w:val="center"/>
            <w:hideMark/>
          </w:tcPr>
          <w:p w14:paraId="2F26F10A" w14:textId="77777777" w:rsidR="003E3ADF" w:rsidRPr="00E77651" w:rsidRDefault="003E3ADF" w:rsidP="00E77651">
            <w:pPr>
              <w:contextualSpacing/>
              <w:jc w:val="both"/>
              <w:rPr>
                <w:rFonts w:asciiTheme="minorHAnsi" w:hAnsiTheme="minorHAnsi"/>
                <w:sz w:val="18"/>
                <w:szCs w:val="18"/>
              </w:rPr>
            </w:pPr>
            <w:r w:rsidRPr="00E77651">
              <w:rPr>
                <w:rFonts w:asciiTheme="minorHAnsi" w:hAnsiTheme="minorHAnsi"/>
                <w:sz w:val="18"/>
                <w:szCs w:val="18"/>
              </w:rPr>
              <w:t>“Hi [client name], you’re all booked in with [therapist] at Skinsmiths [location] on [date] at [time]. See you there.”</w:t>
            </w:r>
          </w:p>
        </w:tc>
        <w:tc>
          <w:tcPr>
            <w:tcW w:w="0" w:type="auto"/>
            <w:vAlign w:val="center"/>
            <w:hideMark/>
          </w:tcPr>
          <w:p w14:paraId="03F9EBF2" w14:textId="77777777" w:rsidR="003E3ADF" w:rsidRPr="00E77651" w:rsidRDefault="003E3ADF" w:rsidP="00E77651">
            <w:pPr>
              <w:contextualSpacing/>
              <w:jc w:val="both"/>
              <w:rPr>
                <w:rFonts w:asciiTheme="minorHAnsi" w:hAnsiTheme="minorHAnsi"/>
                <w:sz w:val="18"/>
                <w:szCs w:val="18"/>
              </w:rPr>
            </w:pPr>
            <w:r w:rsidRPr="00E77651">
              <w:rPr>
                <w:rFonts w:asciiTheme="minorHAnsi" w:hAnsiTheme="minorHAnsi"/>
                <w:sz w:val="18"/>
                <w:szCs w:val="18"/>
              </w:rPr>
              <w:t>Personalisation (client identity)</w:t>
            </w:r>
          </w:p>
        </w:tc>
        <w:tc>
          <w:tcPr>
            <w:tcW w:w="0" w:type="auto"/>
            <w:vAlign w:val="center"/>
            <w:hideMark/>
          </w:tcPr>
          <w:p w14:paraId="25DD5831" w14:textId="77777777" w:rsidR="003E3ADF" w:rsidRPr="00E77651" w:rsidRDefault="003E3ADF" w:rsidP="00E77651">
            <w:pPr>
              <w:contextualSpacing/>
              <w:jc w:val="both"/>
              <w:rPr>
                <w:rFonts w:asciiTheme="minorHAnsi" w:hAnsiTheme="minorHAnsi"/>
                <w:sz w:val="18"/>
                <w:szCs w:val="18"/>
              </w:rPr>
            </w:pPr>
            <w:r w:rsidRPr="00E77651">
              <w:rPr>
                <w:rFonts w:asciiTheme="minorHAnsi" w:hAnsiTheme="minorHAnsi"/>
                <w:sz w:val="18"/>
                <w:szCs w:val="18"/>
              </w:rPr>
              <w:t xml:space="preserve">“Hi Sarah, you’re all booked in with </w:t>
            </w:r>
            <w:proofErr w:type="spellStart"/>
            <w:r w:rsidRPr="00E77651">
              <w:rPr>
                <w:rFonts w:asciiTheme="minorHAnsi" w:hAnsiTheme="minorHAnsi"/>
                <w:sz w:val="18"/>
                <w:szCs w:val="18"/>
              </w:rPr>
              <w:t>Firdosa</w:t>
            </w:r>
            <w:proofErr w:type="spellEnd"/>
            <w:r w:rsidRPr="00E77651">
              <w:rPr>
                <w:rFonts w:asciiTheme="minorHAnsi" w:hAnsiTheme="minorHAnsi"/>
                <w:sz w:val="18"/>
                <w:szCs w:val="18"/>
              </w:rPr>
              <w:t xml:space="preserve"> at Skinsmiths Tower Bridge on 30/01/2019 at 05:45 PM.”</w:t>
            </w:r>
          </w:p>
        </w:tc>
      </w:tr>
      <w:tr w:rsidR="003E3ADF" w:rsidRPr="00E77651" w14:paraId="5087BBB8" w14:textId="77777777" w:rsidTr="003E3ADF">
        <w:trPr>
          <w:trHeight w:val="1028"/>
          <w:tblCellSpacing w:w="15" w:type="dxa"/>
        </w:trPr>
        <w:tc>
          <w:tcPr>
            <w:tcW w:w="1368" w:type="dxa"/>
            <w:vAlign w:val="center"/>
            <w:hideMark/>
          </w:tcPr>
          <w:p w14:paraId="389B22C4" w14:textId="77777777" w:rsidR="003E3ADF" w:rsidRPr="00E77651" w:rsidRDefault="003E3ADF" w:rsidP="00E77651">
            <w:pPr>
              <w:contextualSpacing/>
              <w:jc w:val="both"/>
              <w:rPr>
                <w:rFonts w:asciiTheme="minorHAnsi" w:hAnsiTheme="minorHAnsi"/>
                <w:sz w:val="18"/>
                <w:szCs w:val="18"/>
              </w:rPr>
            </w:pPr>
            <w:r w:rsidRPr="00E77651">
              <w:rPr>
                <w:rFonts w:asciiTheme="minorHAnsi" w:hAnsiTheme="minorHAnsi"/>
                <w:sz w:val="18"/>
                <w:szCs w:val="18"/>
              </w:rPr>
              <w:t>2. +Scheduler</w:t>
            </w:r>
          </w:p>
        </w:tc>
        <w:tc>
          <w:tcPr>
            <w:tcW w:w="3168" w:type="dxa"/>
            <w:vAlign w:val="center"/>
            <w:hideMark/>
          </w:tcPr>
          <w:p w14:paraId="3291906C" w14:textId="77777777" w:rsidR="003E3ADF" w:rsidRPr="00E77651" w:rsidRDefault="003E3ADF" w:rsidP="00E77651">
            <w:pPr>
              <w:contextualSpacing/>
              <w:jc w:val="both"/>
              <w:rPr>
                <w:rFonts w:asciiTheme="minorHAnsi" w:hAnsiTheme="minorHAnsi"/>
                <w:sz w:val="18"/>
                <w:szCs w:val="18"/>
              </w:rPr>
            </w:pPr>
            <w:r w:rsidRPr="00E77651">
              <w:rPr>
                <w:rFonts w:asciiTheme="minorHAnsi" w:hAnsiTheme="minorHAnsi"/>
                <w:sz w:val="18"/>
                <w:szCs w:val="18"/>
              </w:rPr>
              <w:t>“Hi [client name], you’re all booked in with [therapist] at Skinsmiths [location] on [date] at [time]. Thanks, [scheduler name].”</w:t>
            </w:r>
          </w:p>
        </w:tc>
        <w:tc>
          <w:tcPr>
            <w:tcW w:w="0" w:type="auto"/>
            <w:vAlign w:val="center"/>
            <w:hideMark/>
          </w:tcPr>
          <w:p w14:paraId="155E4333" w14:textId="77777777" w:rsidR="003E3ADF" w:rsidRPr="00E77651" w:rsidRDefault="003E3ADF" w:rsidP="00E77651">
            <w:pPr>
              <w:contextualSpacing/>
              <w:jc w:val="both"/>
              <w:rPr>
                <w:rFonts w:asciiTheme="minorHAnsi" w:hAnsiTheme="minorHAnsi"/>
                <w:sz w:val="18"/>
                <w:szCs w:val="18"/>
              </w:rPr>
            </w:pPr>
            <w:r w:rsidRPr="00E77651">
              <w:rPr>
                <w:rFonts w:asciiTheme="minorHAnsi" w:hAnsiTheme="minorHAnsi"/>
                <w:sz w:val="18"/>
                <w:szCs w:val="18"/>
              </w:rPr>
              <w:t>Enhanced personalisation (social identity, relational)</w:t>
            </w:r>
          </w:p>
        </w:tc>
        <w:tc>
          <w:tcPr>
            <w:tcW w:w="0" w:type="auto"/>
            <w:vAlign w:val="center"/>
            <w:hideMark/>
          </w:tcPr>
          <w:p w14:paraId="5C44A556" w14:textId="77777777" w:rsidR="003E3ADF" w:rsidRPr="00E77651" w:rsidRDefault="003E3ADF" w:rsidP="00E77651">
            <w:pPr>
              <w:contextualSpacing/>
              <w:jc w:val="both"/>
              <w:rPr>
                <w:rFonts w:asciiTheme="minorHAnsi" w:hAnsiTheme="minorHAnsi"/>
                <w:sz w:val="18"/>
                <w:szCs w:val="18"/>
              </w:rPr>
            </w:pPr>
            <w:r w:rsidRPr="00E77651">
              <w:rPr>
                <w:rFonts w:asciiTheme="minorHAnsi" w:hAnsiTheme="minorHAnsi"/>
                <w:sz w:val="18"/>
                <w:szCs w:val="18"/>
              </w:rPr>
              <w:t xml:space="preserve">“Hi Sarah, you’re all booked in with </w:t>
            </w:r>
            <w:proofErr w:type="spellStart"/>
            <w:r w:rsidRPr="00E77651">
              <w:rPr>
                <w:rFonts w:asciiTheme="minorHAnsi" w:hAnsiTheme="minorHAnsi"/>
                <w:sz w:val="18"/>
                <w:szCs w:val="18"/>
              </w:rPr>
              <w:t>Firdosa</w:t>
            </w:r>
            <w:proofErr w:type="spellEnd"/>
            <w:r w:rsidRPr="00E77651">
              <w:rPr>
                <w:rFonts w:asciiTheme="minorHAnsi" w:hAnsiTheme="minorHAnsi"/>
                <w:sz w:val="18"/>
                <w:szCs w:val="18"/>
              </w:rPr>
              <w:t xml:space="preserve"> at Skinsmiths Tower Bridge on 30/01/2019 at 05:45 PM. Thanks, Michelle.”</w:t>
            </w:r>
          </w:p>
        </w:tc>
      </w:tr>
      <w:tr w:rsidR="003E3ADF" w:rsidRPr="00E77651" w14:paraId="3238B3D9" w14:textId="77777777" w:rsidTr="003E3ADF">
        <w:trPr>
          <w:trHeight w:val="1028"/>
          <w:tblCellSpacing w:w="15" w:type="dxa"/>
        </w:trPr>
        <w:tc>
          <w:tcPr>
            <w:tcW w:w="1368" w:type="dxa"/>
            <w:tcBorders>
              <w:bottom w:val="single" w:sz="4" w:space="0" w:color="auto"/>
            </w:tcBorders>
            <w:vAlign w:val="center"/>
            <w:hideMark/>
          </w:tcPr>
          <w:p w14:paraId="023955C4" w14:textId="77777777" w:rsidR="003E3ADF" w:rsidRPr="00E77651" w:rsidRDefault="003E3ADF" w:rsidP="00E77651">
            <w:pPr>
              <w:contextualSpacing/>
              <w:jc w:val="both"/>
              <w:rPr>
                <w:rFonts w:asciiTheme="minorHAnsi" w:hAnsiTheme="minorHAnsi"/>
                <w:sz w:val="18"/>
                <w:szCs w:val="18"/>
              </w:rPr>
            </w:pPr>
            <w:r w:rsidRPr="00E77651">
              <w:rPr>
                <w:rFonts w:asciiTheme="minorHAnsi" w:hAnsiTheme="minorHAnsi"/>
                <w:sz w:val="18"/>
                <w:szCs w:val="18"/>
              </w:rPr>
              <w:t>3. +Reciprocity</w:t>
            </w:r>
          </w:p>
        </w:tc>
        <w:tc>
          <w:tcPr>
            <w:tcW w:w="3168" w:type="dxa"/>
            <w:tcBorders>
              <w:bottom w:val="single" w:sz="4" w:space="0" w:color="auto"/>
            </w:tcBorders>
            <w:vAlign w:val="center"/>
            <w:hideMark/>
          </w:tcPr>
          <w:p w14:paraId="6C9C0476" w14:textId="77777777" w:rsidR="003E3ADF" w:rsidRPr="00E77651" w:rsidRDefault="003E3ADF" w:rsidP="00E77651">
            <w:pPr>
              <w:contextualSpacing/>
              <w:jc w:val="both"/>
              <w:rPr>
                <w:rFonts w:asciiTheme="minorHAnsi" w:hAnsiTheme="minorHAnsi"/>
                <w:sz w:val="18"/>
                <w:szCs w:val="18"/>
              </w:rPr>
            </w:pPr>
            <w:r w:rsidRPr="00E77651">
              <w:rPr>
                <w:rFonts w:asciiTheme="minorHAnsi" w:hAnsiTheme="minorHAnsi"/>
                <w:sz w:val="18"/>
                <w:szCs w:val="18"/>
              </w:rPr>
              <w:t>“Hi [client name], I’ve booked you in with [therapist] at Skinsmiths [location] on [date] at [time]. Looking forward to seeing you, [scheduler name].”</w:t>
            </w:r>
          </w:p>
        </w:tc>
        <w:tc>
          <w:tcPr>
            <w:tcW w:w="0" w:type="auto"/>
            <w:tcBorders>
              <w:bottom w:val="single" w:sz="4" w:space="0" w:color="auto"/>
            </w:tcBorders>
            <w:vAlign w:val="center"/>
            <w:hideMark/>
          </w:tcPr>
          <w:p w14:paraId="38640EEB" w14:textId="77777777" w:rsidR="003E3ADF" w:rsidRPr="00E77651" w:rsidRDefault="003E3ADF" w:rsidP="00E77651">
            <w:pPr>
              <w:contextualSpacing/>
              <w:jc w:val="both"/>
              <w:rPr>
                <w:rFonts w:asciiTheme="minorHAnsi" w:hAnsiTheme="minorHAnsi"/>
                <w:sz w:val="18"/>
                <w:szCs w:val="18"/>
              </w:rPr>
            </w:pPr>
            <w:r w:rsidRPr="00E77651">
              <w:rPr>
                <w:rFonts w:asciiTheme="minorHAnsi" w:hAnsiTheme="minorHAnsi"/>
                <w:sz w:val="18"/>
                <w:szCs w:val="18"/>
              </w:rPr>
              <w:t>Reciprocity + Personalisation</w:t>
            </w:r>
          </w:p>
        </w:tc>
        <w:tc>
          <w:tcPr>
            <w:tcW w:w="0" w:type="auto"/>
            <w:tcBorders>
              <w:bottom w:val="single" w:sz="4" w:space="0" w:color="auto"/>
            </w:tcBorders>
            <w:vAlign w:val="center"/>
            <w:hideMark/>
          </w:tcPr>
          <w:p w14:paraId="719D14ED" w14:textId="77777777" w:rsidR="003E3ADF" w:rsidRPr="00E77651" w:rsidRDefault="003E3ADF" w:rsidP="00E77651">
            <w:pPr>
              <w:contextualSpacing/>
              <w:jc w:val="both"/>
              <w:rPr>
                <w:rFonts w:asciiTheme="minorHAnsi" w:hAnsiTheme="minorHAnsi"/>
                <w:sz w:val="18"/>
                <w:szCs w:val="18"/>
              </w:rPr>
            </w:pPr>
            <w:r w:rsidRPr="00E77651">
              <w:rPr>
                <w:rFonts w:asciiTheme="minorHAnsi" w:hAnsiTheme="minorHAnsi"/>
                <w:sz w:val="18"/>
                <w:szCs w:val="18"/>
              </w:rPr>
              <w:t xml:space="preserve">“Hi Sarah, I’ve booked you in with </w:t>
            </w:r>
            <w:proofErr w:type="spellStart"/>
            <w:r w:rsidRPr="00E77651">
              <w:rPr>
                <w:rFonts w:asciiTheme="minorHAnsi" w:hAnsiTheme="minorHAnsi"/>
                <w:sz w:val="18"/>
                <w:szCs w:val="18"/>
              </w:rPr>
              <w:t>Firdosa</w:t>
            </w:r>
            <w:proofErr w:type="spellEnd"/>
            <w:r w:rsidRPr="00E77651">
              <w:rPr>
                <w:rFonts w:asciiTheme="minorHAnsi" w:hAnsiTheme="minorHAnsi"/>
                <w:sz w:val="18"/>
                <w:szCs w:val="18"/>
              </w:rPr>
              <w:t xml:space="preserve"> at Skinsmiths Tower Bridge on 30/01/2019 at 05:45 PM. Looking forward to seeing you, Michelle.”</w:t>
            </w:r>
          </w:p>
        </w:tc>
      </w:tr>
    </w:tbl>
    <w:p w14:paraId="5F90E6F3" w14:textId="6C04229A" w:rsidR="003E3ADF" w:rsidRPr="00E77651" w:rsidRDefault="00DD353C" w:rsidP="00E77651">
      <w:pPr>
        <w:contextualSpacing/>
        <w:jc w:val="both"/>
        <w:rPr>
          <w:rFonts w:asciiTheme="minorHAnsi" w:hAnsiTheme="minorHAnsi"/>
          <w:sz w:val="18"/>
          <w:szCs w:val="18"/>
        </w:rPr>
      </w:pPr>
      <w:r w:rsidRPr="00E77651">
        <w:rPr>
          <w:rFonts w:asciiTheme="minorHAnsi" w:hAnsiTheme="minorHAnsi"/>
          <w:sz w:val="18"/>
          <w:szCs w:val="18"/>
        </w:rPr>
        <w:t>Table 1. outlines the four experimental conditions, and the be</w:t>
      </w:r>
    </w:p>
    <w:p w14:paraId="055FB990" w14:textId="77777777" w:rsidR="00DD353C" w:rsidRPr="00E77651" w:rsidRDefault="00DD353C" w:rsidP="00E77651">
      <w:pPr>
        <w:contextualSpacing/>
        <w:jc w:val="both"/>
        <w:rPr>
          <w:rFonts w:asciiTheme="minorHAnsi" w:hAnsiTheme="minorHAnsi"/>
          <w:sz w:val="18"/>
          <w:szCs w:val="18"/>
        </w:rPr>
      </w:pPr>
    </w:p>
    <w:p w14:paraId="5B24AE51" w14:textId="705EF166" w:rsidR="00DD353C" w:rsidRPr="00E77651" w:rsidRDefault="00FC6E9F" w:rsidP="00FD4751">
      <w:pPr>
        <w:contextualSpacing/>
        <w:jc w:val="center"/>
        <w:rPr>
          <w:rFonts w:asciiTheme="minorHAnsi" w:hAnsiTheme="minorHAnsi"/>
          <w:b/>
          <w:bCs/>
          <w:sz w:val="18"/>
          <w:szCs w:val="18"/>
        </w:rPr>
      </w:pPr>
      <w:r w:rsidRPr="00E77651">
        <w:rPr>
          <w:rFonts w:asciiTheme="minorHAnsi" w:hAnsiTheme="minorHAnsi"/>
          <w:b/>
          <w:bCs/>
          <w:sz w:val="18"/>
          <w:szCs w:val="18"/>
        </w:rPr>
        <w:t>Data and Analysis Plan</w:t>
      </w:r>
    </w:p>
    <w:p w14:paraId="21E407E2" w14:textId="77777777" w:rsidR="00DD353C" w:rsidRPr="00E77651" w:rsidRDefault="00DD353C" w:rsidP="00E77651">
      <w:pPr>
        <w:contextualSpacing/>
        <w:jc w:val="both"/>
        <w:rPr>
          <w:rFonts w:asciiTheme="minorHAnsi" w:hAnsiTheme="minorHAnsi"/>
          <w:sz w:val="18"/>
          <w:szCs w:val="18"/>
        </w:rPr>
      </w:pPr>
    </w:p>
    <w:p w14:paraId="25D2ABF9" w14:textId="77777777" w:rsidR="00DD353C" w:rsidRPr="00E77651" w:rsidRDefault="00DD353C" w:rsidP="00E77651">
      <w:pPr>
        <w:contextualSpacing/>
        <w:jc w:val="both"/>
        <w:rPr>
          <w:rFonts w:asciiTheme="minorHAnsi" w:hAnsiTheme="minorHAnsi"/>
          <w:b/>
          <w:bCs/>
          <w:sz w:val="18"/>
          <w:szCs w:val="18"/>
        </w:rPr>
      </w:pPr>
      <w:r w:rsidRPr="00E77651">
        <w:rPr>
          <w:rFonts w:asciiTheme="minorHAnsi" w:hAnsiTheme="minorHAnsi"/>
          <w:b/>
          <w:bCs/>
          <w:sz w:val="18"/>
          <w:szCs w:val="18"/>
        </w:rPr>
        <w:t>Hypothesis</w:t>
      </w:r>
    </w:p>
    <w:p w14:paraId="69C9FED1" w14:textId="70067BB9" w:rsidR="00DD353C" w:rsidRPr="00E77651" w:rsidRDefault="00DD353C" w:rsidP="00E77651">
      <w:pPr>
        <w:pStyle w:val="p1"/>
        <w:spacing w:before="0" w:beforeAutospacing="0" w:after="0" w:afterAutospacing="0"/>
        <w:contextualSpacing/>
        <w:rPr>
          <w:rFonts w:asciiTheme="minorHAnsi" w:hAnsiTheme="minorHAnsi"/>
          <w:sz w:val="18"/>
          <w:szCs w:val="18"/>
        </w:rPr>
      </w:pPr>
      <w:r w:rsidRPr="00E77651">
        <w:rPr>
          <w:rFonts w:asciiTheme="minorHAnsi" w:hAnsiTheme="minorHAnsi"/>
          <w:sz w:val="18"/>
          <w:szCs w:val="18"/>
        </w:rPr>
        <w:t>Primary Hypothesis (H1): SMS messages that incorporate personalisation and/or reciprocity will result in significantly lower no-show rates compared to the control condition.</w:t>
      </w:r>
    </w:p>
    <w:p w14:paraId="3C992826" w14:textId="77777777" w:rsidR="00DD353C" w:rsidRPr="00E77651" w:rsidRDefault="00DD353C" w:rsidP="00E77651">
      <w:pPr>
        <w:pStyle w:val="p1"/>
        <w:spacing w:before="0" w:beforeAutospacing="0" w:after="0" w:afterAutospacing="0"/>
        <w:contextualSpacing/>
        <w:rPr>
          <w:rFonts w:asciiTheme="minorHAnsi" w:hAnsiTheme="minorHAnsi"/>
          <w:sz w:val="18"/>
          <w:szCs w:val="18"/>
        </w:rPr>
      </w:pPr>
      <w:r w:rsidRPr="00E77651">
        <w:rPr>
          <w:rFonts w:asciiTheme="minorHAnsi" w:hAnsiTheme="minorHAnsi"/>
          <w:sz w:val="18"/>
          <w:szCs w:val="18"/>
        </w:rPr>
        <w:t>Sub-Hypotheses:</w:t>
      </w:r>
    </w:p>
    <w:p w14:paraId="5AA61165" w14:textId="77777777" w:rsidR="00DD353C" w:rsidRPr="00E77651" w:rsidRDefault="00DD353C" w:rsidP="00E77651">
      <w:pPr>
        <w:pStyle w:val="p1"/>
        <w:numPr>
          <w:ilvl w:val="0"/>
          <w:numId w:val="9"/>
        </w:numPr>
        <w:spacing w:before="0" w:beforeAutospacing="0" w:after="0" w:afterAutospacing="0"/>
        <w:contextualSpacing/>
        <w:rPr>
          <w:rFonts w:asciiTheme="minorHAnsi" w:hAnsiTheme="minorHAnsi"/>
          <w:sz w:val="18"/>
          <w:szCs w:val="18"/>
        </w:rPr>
      </w:pPr>
      <w:r w:rsidRPr="00E77651">
        <w:rPr>
          <w:rStyle w:val="s1"/>
          <w:rFonts w:asciiTheme="minorHAnsi" w:eastAsiaTheme="majorEastAsia" w:hAnsiTheme="minorHAnsi"/>
          <w:sz w:val="18"/>
          <w:szCs w:val="18"/>
        </w:rPr>
        <w:t>H1a:</w:t>
      </w:r>
      <w:r w:rsidRPr="00E77651">
        <w:rPr>
          <w:rFonts w:asciiTheme="minorHAnsi" w:hAnsiTheme="minorHAnsi"/>
          <w:sz w:val="18"/>
          <w:szCs w:val="18"/>
        </w:rPr>
        <w:t xml:space="preserve"> Messages including the client’s name will reduce no-show rates relative to the control.</w:t>
      </w:r>
    </w:p>
    <w:p w14:paraId="2FF6367F" w14:textId="77777777" w:rsidR="00DD353C" w:rsidRPr="00E77651" w:rsidRDefault="00DD353C" w:rsidP="00E77651">
      <w:pPr>
        <w:pStyle w:val="p1"/>
        <w:numPr>
          <w:ilvl w:val="0"/>
          <w:numId w:val="9"/>
        </w:numPr>
        <w:spacing w:before="0" w:beforeAutospacing="0" w:after="0" w:afterAutospacing="0"/>
        <w:contextualSpacing/>
        <w:rPr>
          <w:rFonts w:asciiTheme="minorHAnsi" w:hAnsiTheme="minorHAnsi"/>
          <w:sz w:val="18"/>
          <w:szCs w:val="18"/>
        </w:rPr>
      </w:pPr>
      <w:r w:rsidRPr="00E77651">
        <w:rPr>
          <w:rStyle w:val="s1"/>
          <w:rFonts w:asciiTheme="minorHAnsi" w:eastAsiaTheme="majorEastAsia" w:hAnsiTheme="minorHAnsi"/>
          <w:sz w:val="18"/>
          <w:szCs w:val="18"/>
        </w:rPr>
        <w:t>H1b:</w:t>
      </w:r>
      <w:r w:rsidRPr="00E77651">
        <w:rPr>
          <w:rFonts w:asciiTheme="minorHAnsi" w:hAnsiTheme="minorHAnsi"/>
          <w:sz w:val="18"/>
          <w:szCs w:val="18"/>
        </w:rPr>
        <w:t xml:space="preserve"> Messages signed by the scheduler (social personalisation) will further reduce no-shows.</w:t>
      </w:r>
    </w:p>
    <w:p w14:paraId="139561B5" w14:textId="77777777" w:rsidR="00DD353C" w:rsidRPr="00E77651" w:rsidRDefault="00DD353C" w:rsidP="00E77651">
      <w:pPr>
        <w:pStyle w:val="p1"/>
        <w:numPr>
          <w:ilvl w:val="0"/>
          <w:numId w:val="9"/>
        </w:numPr>
        <w:spacing w:before="0" w:beforeAutospacing="0" w:after="0" w:afterAutospacing="0"/>
        <w:contextualSpacing/>
        <w:rPr>
          <w:rFonts w:asciiTheme="minorHAnsi" w:hAnsiTheme="minorHAnsi"/>
          <w:sz w:val="18"/>
          <w:szCs w:val="18"/>
        </w:rPr>
      </w:pPr>
      <w:r w:rsidRPr="00E77651">
        <w:rPr>
          <w:rStyle w:val="s1"/>
          <w:rFonts w:asciiTheme="minorHAnsi" w:eastAsiaTheme="majorEastAsia" w:hAnsiTheme="minorHAnsi"/>
          <w:sz w:val="18"/>
          <w:szCs w:val="18"/>
        </w:rPr>
        <w:t>H1c:</w:t>
      </w:r>
      <w:r w:rsidRPr="00E77651">
        <w:rPr>
          <w:rFonts w:asciiTheme="minorHAnsi" w:hAnsiTheme="minorHAnsi"/>
          <w:sz w:val="18"/>
          <w:szCs w:val="18"/>
        </w:rPr>
        <w:t xml:space="preserve"> Messages including reciprocity language (“I’ve booked you in… looking forward to seeing you”) will have the greatest impact on attendance.</w:t>
      </w:r>
    </w:p>
    <w:p w14:paraId="02B37992" w14:textId="4742261B" w:rsidR="00DD353C" w:rsidRPr="00E77651" w:rsidRDefault="00DD353C" w:rsidP="00E77651">
      <w:pPr>
        <w:pStyle w:val="p1"/>
        <w:spacing w:before="0" w:beforeAutospacing="0" w:after="0" w:afterAutospacing="0"/>
        <w:contextualSpacing/>
        <w:rPr>
          <w:rFonts w:asciiTheme="minorHAnsi" w:hAnsiTheme="minorHAnsi"/>
          <w:sz w:val="18"/>
          <w:szCs w:val="18"/>
        </w:rPr>
      </w:pPr>
      <w:r w:rsidRPr="00E77651">
        <w:rPr>
          <w:rFonts w:asciiTheme="minorHAnsi" w:hAnsiTheme="minorHAnsi"/>
          <w:sz w:val="18"/>
          <w:szCs w:val="18"/>
        </w:rPr>
        <w:t>Null Hypothesis (H0): There will be no statistically significant difference in no-show rates between any of the four conditions.</w:t>
      </w:r>
    </w:p>
    <w:p w14:paraId="440506C5" w14:textId="77777777" w:rsidR="00DD353C" w:rsidRPr="00E77651" w:rsidRDefault="00DD353C" w:rsidP="00E77651">
      <w:pPr>
        <w:pStyle w:val="p1"/>
        <w:spacing w:before="0" w:beforeAutospacing="0" w:after="0" w:afterAutospacing="0"/>
        <w:contextualSpacing/>
        <w:rPr>
          <w:rFonts w:asciiTheme="minorHAnsi" w:hAnsiTheme="minorHAnsi"/>
          <w:sz w:val="18"/>
          <w:szCs w:val="18"/>
        </w:rPr>
      </w:pPr>
    </w:p>
    <w:tbl>
      <w:tblPr>
        <w:tblW w:w="8797" w:type="dxa"/>
        <w:tblCellSpacing w:w="15" w:type="dxa"/>
        <w:tblInd w:w="142" w:type="dxa"/>
        <w:tblCellMar>
          <w:top w:w="15" w:type="dxa"/>
          <w:left w:w="15" w:type="dxa"/>
          <w:bottom w:w="15" w:type="dxa"/>
          <w:right w:w="15" w:type="dxa"/>
        </w:tblCellMar>
        <w:tblLook w:val="04A0" w:firstRow="1" w:lastRow="0" w:firstColumn="1" w:lastColumn="0" w:noHBand="0" w:noVBand="1"/>
      </w:tblPr>
      <w:tblGrid>
        <w:gridCol w:w="2835"/>
        <w:gridCol w:w="5962"/>
      </w:tblGrid>
      <w:tr w:rsidR="00DD353C" w:rsidRPr="00E77651" w14:paraId="078C3C9B" w14:textId="77777777" w:rsidTr="00DD353C">
        <w:trPr>
          <w:trHeight w:val="232"/>
          <w:tblHeader/>
          <w:tblCellSpacing w:w="15" w:type="dxa"/>
        </w:trPr>
        <w:tc>
          <w:tcPr>
            <w:tcW w:w="2790" w:type="dxa"/>
            <w:tcBorders>
              <w:top w:val="single" w:sz="4" w:space="0" w:color="auto"/>
              <w:bottom w:val="single" w:sz="4" w:space="0" w:color="auto"/>
            </w:tcBorders>
            <w:vAlign w:val="center"/>
            <w:hideMark/>
          </w:tcPr>
          <w:p w14:paraId="7CE0F46F" w14:textId="77777777" w:rsidR="00DD353C" w:rsidRPr="00E77651" w:rsidRDefault="00DD353C" w:rsidP="00E77651">
            <w:pPr>
              <w:contextualSpacing/>
              <w:rPr>
                <w:rFonts w:asciiTheme="minorHAnsi" w:hAnsiTheme="minorHAnsi"/>
                <w:b/>
                <w:bCs/>
                <w:sz w:val="18"/>
                <w:szCs w:val="18"/>
              </w:rPr>
            </w:pPr>
            <w:r w:rsidRPr="00E77651">
              <w:rPr>
                <w:rFonts w:asciiTheme="minorHAnsi" w:hAnsiTheme="minorHAnsi"/>
                <w:b/>
                <w:bCs/>
                <w:sz w:val="18"/>
                <w:szCs w:val="18"/>
              </w:rPr>
              <w:t>Condition Code</w:t>
            </w:r>
          </w:p>
        </w:tc>
        <w:tc>
          <w:tcPr>
            <w:tcW w:w="5917" w:type="dxa"/>
            <w:tcBorders>
              <w:top w:val="single" w:sz="4" w:space="0" w:color="auto"/>
              <w:bottom w:val="single" w:sz="4" w:space="0" w:color="auto"/>
            </w:tcBorders>
            <w:vAlign w:val="center"/>
            <w:hideMark/>
          </w:tcPr>
          <w:p w14:paraId="5D0E457A" w14:textId="77777777" w:rsidR="00DD353C" w:rsidRPr="00E77651" w:rsidRDefault="00DD353C" w:rsidP="00E77651">
            <w:pPr>
              <w:contextualSpacing/>
              <w:rPr>
                <w:rFonts w:asciiTheme="minorHAnsi" w:hAnsiTheme="minorHAnsi"/>
                <w:b/>
                <w:bCs/>
                <w:sz w:val="18"/>
                <w:szCs w:val="18"/>
              </w:rPr>
            </w:pPr>
            <w:r w:rsidRPr="00E77651">
              <w:rPr>
                <w:rFonts w:asciiTheme="minorHAnsi" w:hAnsiTheme="minorHAnsi"/>
                <w:b/>
                <w:bCs/>
                <w:sz w:val="18"/>
                <w:szCs w:val="18"/>
              </w:rPr>
              <w:t>Description</w:t>
            </w:r>
          </w:p>
        </w:tc>
      </w:tr>
      <w:tr w:rsidR="00DD353C" w:rsidRPr="00E77651" w14:paraId="3A3CBCF3" w14:textId="77777777" w:rsidTr="00DD353C">
        <w:trPr>
          <w:trHeight w:val="232"/>
          <w:tblCellSpacing w:w="15" w:type="dxa"/>
        </w:trPr>
        <w:tc>
          <w:tcPr>
            <w:tcW w:w="2790" w:type="dxa"/>
            <w:vAlign w:val="center"/>
            <w:hideMark/>
          </w:tcPr>
          <w:p w14:paraId="29FDAD46" w14:textId="77777777" w:rsidR="00DD353C" w:rsidRPr="00E77651" w:rsidRDefault="00DD353C" w:rsidP="00E77651">
            <w:pPr>
              <w:contextualSpacing/>
              <w:rPr>
                <w:rFonts w:asciiTheme="minorHAnsi" w:hAnsiTheme="minorHAnsi"/>
                <w:sz w:val="18"/>
                <w:szCs w:val="18"/>
              </w:rPr>
            </w:pPr>
            <w:r w:rsidRPr="00E77651">
              <w:rPr>
                <w:rFonts w:asciiTheme="minorHAnsi" w:hAnsiTheme="minorHAnsi"/>
                <w:sz w:val="18"/>
                <w:szCs w:val="18"/>
              </w:rPr>
              <w:t>0</w:t>
            </w:r>
          </w:p>
        </w:tc>
        <w:tc>
          <w:tcPr>
            <w:tcW w:w="5917" w:type="dxa"/>
            <w:vAlign w:val="center"/>
            <w:hideMark/>
          </w:tcPr>
          <w:p w14:paraId="03ED1B4B" w14:textId="77777777" w:rsidR="00DD353C" w:rsidRPr="00E77651" w:rsidRDefault="00DD353C" w:rsidP="00E77651">
            <w:pPr>
              <w:contextualSpacing/>
              <w:jc w:val="both"/>
              <w:rPr>
                <w:rFonts w:asciiTheme="minorHAnsi" w:hAnsiTheme="minorHAnsi"/>
                <w:sz w:val="18"/>
                <w:szCs w:val="18"/>
              </w:rPr>
            </w:pPr>
            <w:r w:rsidRPr="00E77651">
              <w:rPr>
                <w:rFonts w:asciiTheme="minorHAnsi" w:hAnsiTheme="minorHAnsi"/>
                <w:sz w:val="18"/>
                <w:szCs w:val="18"/>
              </w:rPr>
              <w:t>Control (standard factual message)</w:t>
            </w:r>
          </w:p>
        </w:tc>
      </w:tr>
      <w:tr w:rsidR="00DD353C" w:rsidRPr="00E77651" w14:paraId="2698EAB7" w14:textId="77777777" w:rsidTr="00DD353C">
        <w:trPr>
          <w:trHeight w:val="232"/>
          <w:tblCellSpacing w:w="15" w:type="dxa"/>
        </w:trPr>
        <w:tc>
          <w:tcPr>
            <w:tcW w:w="2790" w:type="dxa"/>
            <w:vAlign w:val="center"/>
            <w:hideMark/>
          </w:tcPr>
          <w:p w14:paraId="472992AA" w14:textId="77777777" w:rsidR="00DD353C" w:rsidRPr="00E77651" w:rsidRDefault="00DD353C" w:rsidP="00E77651">
            <w:pPr>
              <w:contextualSpacing/>
              <w:rPr>
                <w:rFonts w:asciiTheme="minorHAnsi" w:hAnsiTheme="minorHAnsi"/>
                <w:sz w:val="18"/>
                <w:szCs w:val="18"/>
              </w:rPr>
            </w:pPr>
            <w:r w:rsidRPr="00E77651">
              <w:rPr>
                <w:rFonts w:asciiTheme="minorHAnsi" w:hAnsiTheme="minorHAnsi"/>
                <w:sz w:val="18"/>
                <w:szCs w:val="18"/>
              </w:rPr>
              <w:t>1</w:t>
            </w:r>
          </w:p>
        </w:tc>
        <w:tc>
          <w:tcPr>
            <w:tcW w:w="5917" w:type="dxa"/>
            <w:vAlign w:val="center"/>
            <w:hideMark/>
          </w:tcPr>
          <w:p w14:paraId="20EC5C2D" w14:textId="77777777" w:rsidR="00DD353C" w:rsidRPr="00E77651" w:rsidRDefault="00DD353C" w:rsidP="00E77651">
            <w:pPr>
              <w:contextualSpacing/>
              <w:jc w:val="both"/>
              <w:rPr>
                <w:rFonts w:asciiTheme="minorHAnsi" w:hAnsiTheme="minorHAnsi"/>
                <w:sz w:val="18"/>
                <w:szCs w:val="18"/>
              </w:rPr>
            </w:pPr>
            <w:proofErr w:type="spellStart"/>
            <w:r w:rsidRPr="00E77651">
              <w:rPr>
                <w:rFonts w:asciiTheme="minorHAnsi" w:hAnsiTheme="minorHAnsi"/>
                <w:sz w:val="18"/>
                <w:szCs w:val="18"/>
              </w:rPr>
              <w:t>ClientName</w:t>
            </w:r>
            <w:proofErr w:type="spellEnd"/>
            <w:r w:rsidRPr="00E77651">
              <w:rPr>
                <w:rFonts w:asciiTheme="minorHAnsi" w:hAnsiTheme="minorHAnsi"/>
                <w:sz w:val="18"/>
                <w:szCs w:val="18"/>
              </w:rPr>
              <w:t xml:space="preserve"> (adds recipient’s name)</w:t>
            </w:r>
          </w:p>
        </w:tc>
      </w:tr>
      <w:tr w:rsidR="00DD353C" w:rsidRPr="00E77651" w14:paraId="74A54B98" w14:textId="77777777" w:rsidTr="00DD353C">
        <w:trPr>
          <w:trHeight w:val="232"/>
          <w:tblCellSpacing w:w="15" w:type="dxa"/>
        </w:trPr>
        <w:tc>
          <w:tcPr>
            <w:tcW w:w="2790" w:type="dxa"/>
            <w:vAlign w:val="center"/>
            <w:hideMark/>
          </w:tcPr>
          <w:p w14:paraId="53712314" w14:textId="77777777" w:rsidR="00DD353C" w:rsidRPr="00E77651" w:rsidRDefault="00DD353C" w:rsidP="00E77651">
            <w:pPr>
              <w:contextualSpacing/>
              <w:rPr>
                <w:rFonts w:asciiTheme="minorHAnsi" w:hAnsiTheme="minorHAnsi"/>
                <w:sz w:val="18"/>
                <w:szCs w:val="18"/>
              </w:rPr>
            </w:pPr>
            <w:r w:rsidRPr="00E77651">
              <w:rPr>
                <w:rFonts w:asciiTheme="minorHAnsi" w:hAnsiTheme="minorHAnsi"/>
                <w:sz w:val="18"/>
                <w:szCs w:val="18"/>
              </w:rPr>
              <w:t>2</w:t>
            </w:r>
          </w:p>
        </w:tc>
        <w:tc>
          <w:tcPr>
            <w:tcW w:w="5917" w:type="dxa"/>
            <w:vAlign w:val="center"/>
            <w:hideMark/>
          </w:tcPr>
          <w:p w14:paraId="365BA3BD" w14:textId="77777777" w:rsidR="00DD353C" w:rsidRPr="00E77651" w:rsidRDefault="00DD353C" w:rsidP="00E77651">
            <w:pPr>
              <w:contextualSpacing/>
              <w:jc w:val="both"/>
              <w:rPr>
                <w:rFonts w:asciiTheme="minorHAnsi" w:hAnsiTheme="minorHAnsi"/>
                <w:sz w:val="18"/>
                <w:szCs w:val="18"/>
              </w:rPr>
            </w:pPr>
            <w:r w:rsidRPr="00E77651">
              <w:rPr>
                <w:rFonts w:asciiTheme="minorHAnsi" w:hAnsiTheme="minorHAnsi"/>
                <w:sz w:val="18"/>
                <w:szCs w:val="18"/>
              </w:rPr>
              <w:t>+Scheduler (adds scheduler name)</w:t>
            </w:r>
          </w:p>
        </w:tc>
      </w:tr>
      <w:tr w:rsidR="00DD353C" w:rsidRPr="00E77651" w14:paraId="398F1C4A" w14:textId="77777777" w:rsidTr="00DD353C">
        <w:trPr>
          <w:trHeight w:val="232"/>
          <w:tblCellSpacing w:w="15" w:type="dxa"/>
        </w:trPr>
        <w:tc>
          <w:tcPr>
            <w:tcW w:w="2790" w:type="dxa"/>
            <w:tcBorders>
              <w:bottom w:val="single" w:sz="4" w:space="0" w:color="auto"/>
            </w:tcBorders>
            <w:vAlign w:val="center"/>
            <w:hideMark/>
          </w:tcPr>
          <w:p w14:paraId="0452006E" w14:textId="77777777" w:rsidR="00DD353C" w:rsidRPr="00E77651" w:rsidRDefault="00DD353C" w:rsidP="00E77651">
            <w:pPr>
              <w:contextualSpacing/>
              <w:rPr>
                <w:rFonts w:asciiTheme="minorHAnsi" w:hAnsiTheme="minorHAnsi"/>
                <w:sz w:val="18"/>
                <w:szCs w:val="18"/>
              </w:rPr>
            </w:pPr>
            <w:r w:rsidRPr="00E77651">
              <w:rPr>
                <w:rFonts w:asciiTheme="minorHAnsi" w:hAnsiTheme="minorHAnsi"/>
                <w:sz w:val="18"/>
                <w:szCs w:val="18"/>
              </w:rPr>
              <w:t>3</w:t>
            </w:r>
          </w:p>
        </w:tc>
        <w:tc>
          <w:tcPr>
            <w:tcW w:w="5917" w:type="dxa"/>
            <w:tcBorders>
              <w:bottom w:val="single" w:sz="4" w:space="0" w:color="auto"/>
            </w:tcBorders>
            <w:vAlign w:val="center"/>
            <w:hideMark/>
          </w:tcPr>
          <w:p w14:paraId="58E73953" w14:textId="77777777" w:rsidR="00DD353C" w:rsidRPr="00E77651" w:rsidRDefault="00DD353C" w:rsidP="00E77651">
            <w:pPr>
              <w:contextualSpacing/>
              <w:jc w:val="both"/>
              <w:rPr>
                <w:rFonts w:asciiTheme="minorHAnsi" w:hAnsiTheme="minorHAnsi"/>
                <w:sz w:val="18"/>
                <w:szCs w:val="18"/>
              </w:rPr>
            </w:pPr>
            <w:r w:rsidRPr="00E77651">
              <w:rPr>
                <w:rFonts w:asciiTheme="minorHAnsi" w:hAnsiTheme="minorHAnsi"/>
                <w:sz w:val="18"/>
                <w:szCs w:val="18"/>
              </w:rPr>
              <w:t>+Reciprocity (adds social &amp; reciprocal tone)</w:t>
            </w:r>
          </w:p>
        </w:tc>
      </w:tr>
    </w:tbl>
    <w:p w14:paraId="4F6BCD2C" w14:textId="77777777" w:rsidR="00DD353C" w:rsidRPr="00E77651" w:rsidRDefault="00DD353C" w:rsidP="00E77651">
      <w:pPr>
        <w:pStyle w:val="p1"/>
        <w:spacing w:before="0" w:beforeAutospacing="0" w:after="0" w:afterAutospacing="0"/>
        <w:contextualSpacing/>
        <w:rPr>
          <w:rFonts w:asciiTheme="minorHAnsi" w:hAnsiTheme="minorHAnsi"/>
          <w:sz w:val="18"/>
          <w:szCs w:val="18"/>
        </w:rPr>
      </w:pPr>
    </w:p>
    <w:p w14:paraId="08382C0D" w14:textId="77777777" w:rsidR="00DD353C" w:rsidRPr="00E77651" w:rsidRDefault="00DD353C" w:rsidP="00E77651">
      <w:pPr>
        <w:contextualSpacing/>
        <w:outlineLvl w:val="2"/>
        <w:rPr>
          <w:rFonts w:asciiTheme="minorHAnsi" w:hAnsiTheme="minorHAnsi"/>
          <w:b/>
          <w:bCs/>
          <w:sz w:val="18"/>
          <w:szCs w:val="18"/>
        </w:rPr>
      </w:pPr>
      <w:r w:rsidRPr="00E77651">
        <w:rPr>
          <w:rFonts w:asciiTheme="minorHAnsi" w:hAnsiTheme="minorHAnsi"/>
          <w:b/>
          <w:bCs/>
          <w:sz w:val="18"/>
          <w:szCs w:val="18"/>
        </w:rPr>
        <w:t>Outcome Variable</w:t>
      </w:r>
    </w:p>
    <w:p w14:paraId="5D1A0AC4" w14:textId="77777777" w:rsidR="00DD353C" w:rsidRPr="00E77651" w:rsidRDefault="00DD353C" w:rsidP="00E77651">
      <w:pPr>
        <w:contextualSpacing/>
        <w:rPr>
          <w:rFonts w:asciiTheme="minorHAnsi" w:hAnsiTheme="minorHAnsi"/>
          <w:sz w:val="18"/>
          <w:szCs w:val="18"/>
        </w:rPr>
      </w:pPr>
      <w:r w:rsidRPr="00E77651">
        <w:rPr>
          <w:rFonts w:asciiTheme="minorHAnsi" w:hAnsiTheme="minorHAnsi"/>
          <w:sz w:val="18"/>
          <w:szCs w:val="18"/>
        </w:rPr>
        <w:t>Attendance behaviour (binary):</w:t>
      </w:r>
    </w:p>
    <w:p w14:paraId="4B1BED53" w14:textId="77777777" w:rsidR="00DD353C" w:rsidRPr="00E77651" w:rsidRDefault="00DD353C" w:rsidP="00E77651">
      <w:pPr>
        <w:pStyle w:val="ListParagraph"/>
        <w:numPr>
          <w:ilvl w:val="0"/>
          <w:numId w:val="14"/>
        </w:numPr>
        <w:rPr>
          <w:rFonts w:asciiTheme="minorHAnsi" w:hAnsiTheme="minorHAnsi"/>
          <w:sz w:val="18"/>
          <w:szCs w:val="18"/>
        </w:rPr>
      </w:pPr>
      <w:r w:rsidRPr="00E77651">
        <w:rPr>
          <w:rFonts w:asciiTheme="minorHAnsi" w:hAnsiTheme="minorHAnsi"/>
          <w:sz w:val="18"/>
          <w:szCs w:val="18"/>
        </w:rPr>
        <w:t>1 = Attended</w:t>
      </w:r>
    </w:p>
    <w:p w14:paraId="096C671E" w14:textId="77777777" w:rsidR="00DD353C" w:rsidRPr="00E77651" w:rsidRDefault="00DD353C" w:rsidP="00E77651">
      <w:pPr>
        <w:pStyle w:val="ListParagraph"/>
        <w:numPr>
          <w:ilvl w:val="0"/>
          <w:numId w:val="14"/>
        </w:numPr>
        <w:rPr>
          <w:rFonts w:asciiTheme="minorHAnsi" w:hAnsiTheme="minorHAnsi"/>
          <w:sz w:val="18"/>
          <w:szCs w:val="18"/>
        </w:rPr>
      </w:pPr>
      <w:r w:rsidRPr="00E77651">
        <w:rPr>
          <w:rFonts w:asciiTheme="minorHAnsi" w:hAnsiTheme="minorHAnsi"/>
          <w:sz w:val="18"/>
          <w:szCs w:val="18"/>
        </w:rPr>
        <w:t>0 = No-show (did not attend and did not cancel)</w:t>
      </w:r>
    </w:p>
    <w:p w14:paraId="13BC8073" w14:textId="77777777" w:rsidR="00DD353C" w:rsidRPr="00E77651" w:rsidRDefault="00DD353C" w:rsidP="00E77651">
      <w:pPr>
        <w:contextualSpacing/>
        <w:jc w:val="both"/>
        <w:rPr>
          <w:rFonts w:asciiTheme="minorHAnsi" w:hAnsiTheme="minorHAnsi"/>
          <w:sz w:val="18"/>
          <w:szCs w:val="18"/>
        </w:rPr>
      </w:pPr>
    </w:p>
    <w:p w14:paraId="1E6B34AA" w14:textId="7D06B4F5" w:rsidR="00DD353C" w:rsidRPr="00E77651" w:rsidRDefault="00DD353C" w:rsidP="00E77651">
      <w:pPr>
        <w:pStyle w:val="p1"/>
        <w:spacing w:before="0" w:beforeAutospacing="0" w:after="0" w:afterAutospacing="0"/>
        <w:contextualSpacing/>
        <w:rPr>
          <w:rFonts w:asciiTheme="minorHAnsi" w:hAnsiTheme="minorHAnsi" w:cs="Calibri"/>
          <w:sz w:val="18"/>
          <w:szCs w:val="18"/>
        </w:rPr>
      </w:pPr>
      <w:r w:rsidRPr="00E77651">
        <w:rPr>
          <w:rFonts w:asciiTheme="minorHAnsi" w:hAnsiTheme="minorHAnsi" w:cs="Calibri"/>
          <w:b/>
          <w:bCs/>
          <w:sz w:val="18"/>
          <w:szCs w:val="18"/>
        </w:rPr>
        <w:t>Planned Statistical Procedures:</w:t>
      </w:r>
    </w:p>
    <w:p w14:paraId="7AD806ED" w14:textId="70EF5788" w:rsidR="00DD353C" w:rsidRPr="00E77651" w:rsidRDefault="00DD353C" w:rsidP="00E77651">
      <w:pPr>
        <w:pStyle w:val="p1"/>
        <w:numPr>
          <w:ilvl w:val="0"/>
          <w:numId w:val="11"/>
        </w:numPr>
        <w:spacing w:before="0" w:beforeAutospacing="0" w:after="0" w:afterAutospacing="0"/>
        <w:contextualSpacing/>
        <w:rPr>
          <w:rFonts w:asciiTheme="minorHAnsi" w:hAnsiTheme="minorHAnsi" w:cs="Calibri"/>
          <w:sz w:val="18"/>
          <w:szCs w:val="18"/>
        </w:rPr>
      </w:pPr>
      <w:r w:rsidRPr="00E77651">
        <w:rPr>
          <w:rFonts w:asciiTheme="minorHAnsi" w:hAnsiTheme="minorHAnsi" w:cs="Calibri"/>
          <w:b/>
          <w:bCs/>
          <w:sz w:val="18"/>
          <w:szCs w:val="18"/>
        </w:rPr>
        <w:t>Chi-Square Test of Independence:</w:t>
      </w:r>
      <w:r w:rsidR="009D4C23" w:rsidRPr="00E77651">
        <w:rPr>
          <w:rFonts w:asciiTheme="minorHAnsi" w:hAnsiTheme="minorHAnsi" w:cs="Calibri"/>
          <w:b/>
          <w:bCs/>
          <w:sz w:val="18"/>
          <w:szCs w:val="18"/>
        </w:rPr>
        <w:t xml:space="preserve"> </w:t>
      </w:r>
      <w:r w:rsidRPr="00E77651">
        <w:rPr>
          <w:rFonts w:asciiTheme="minorHAnsi" w:hAnsiTheme="minorHAnsi" w:cs="Calibri"/>
          <w:sz w:val="18"/>
          <w:szCs w:val="18"/>
        </w:rPr>
        <w:t>To assess whether attendance rate differs significantly across the four message conditions.</w:t>
      </w:r>
    </w:p>
    <w:p w14:paraId="169225CC" w14:textId="04427AE9" w:rsidR="00DD353C" w:rsidRPr="00E77651" w:rsidRDefault="00DD353C" w:rsidP="00E77651">
      <w:pPr>
        <w:pStyle w:val="p1"/>
        <w:numPr>
          <w:ilvl w:val="0"/>
          <w:numId w:val="11"/>
        </w:numPr>
        <w:spacing w:before="0" w:beforeAutospacing="0" w:after="0" w:afterAutospacing="0"/>
        <w:contextualSpacing/>
        <w:rPr>
          <w:rFonts w:asciiTheme="minorHAnsi" w:hAnsiTheme="minorHAnsi" w:cs="Calibri"/>
          <w:sz w:val="18"/>
          <w:szCs w:val="18"/>
        </w:rPr>
      </w:pPr>
      <w:r w:rsidRPr="00E77651">
        <w:rPr>
          <w:rFonts w:asciiTheme="minorHAnsi" w:hAnsiTheme="minorHAnsi" w:cs="Calibri"/>
          <w:b/>
          <w:bCs/>
          <w:sz w:val="18"/>
          <w:szCs w:val="18"/>
        </w:rPr>
        <w:t>Post-hoc Pairwise Comparisons:</w:t>
      </w:r>
      <w:r w:rsidR="009D4C23" w:rsidRPr="00E77651">
        <w:rPr>
          <w:rFonts w:asciiTheme="minorHAnsi" w:hAnsiTheme="minorHAnsi" w:cs="Calibri"/>
          <w:b/>
          <w:bCs/>
          <w:sz w:val="18"/>
          <w:szCs w:val="18"/>
        </w:rPr>
        <w:t xml:space="preserve"> </w:t>
      </w:r>
      <w:r w:rsidRPr="00E77651">
        <w:rPr>
          <w:rFonts w:asciiTheme="minorHAnsi" w:hAnsiTheme="minorHAnsi" w:cs="Calibri"/>
          <w:sz w:val="18"/>
          <w:szCs w:val="18"/>
        </w:rPr>
        <w:t>If Chi-square is significant, use pairwise proportion tests (with Bonferroni or Holm correction) to compare each experimental group against the control and each other.</w:t>
      </w:r>
    </w:p>
    <w:p w14:paraId="4C98F890" w14:textId="77777777" w:rsidR="00B84828" w:rsidRPr="00E77651" w:rsidRDefault="00B84828" w:rsidP="00E77651">
      <w:pPr>
        <w:pStyle w:val="p2"/>
        <w:spacing w:before="0" w:beforeAutospacing="0" w:after="0" w:afterAutospacing="0"/>
        <w:ind w:left="720"/>
        <w:contextualSpacing/>
        <w:rPr>
          <w:rFonts w:asciiTheme="minorHAnsi" w:hAnsiTheme="minorHAnsi" w:cs="Calibri"/>
          <w:sz w:val="18"/>
          <w:szCs w:val="18"/>
        </w:rPr>
      </w:pPr>
    </w:p>
    <w:p w14:paraId="16200D18" w14:textId="77777777" w:rsidR="00B84828" w:rsidRPr="00E77651" w:rsidRDefault="00B84828" w:rsidP="00FD4751">
      <w:pPr>
        <w:contextualSpacing/>
        <w:jc w:val="center"/>
        <w:outlineLvl w:val="2"/>
        <w:rPr>
          <w:rFonts w:asciiTheme="minorHAnsi" w:hAnsiTheme="minorHAnsi"/>
          <w:b/>
          <w:bCs/>
          <w:sz w:val="18"/>
          <w:szCs w:val="18"/>
        </w:rPr>
      </w:pPr>
      <w:r w:rsidRPr="00E77651">
        <w:rPr>
          <w:rFonts w:asciiTheme="minorHAnsi" w:hAnsiTheme="minorHAnsi"/>
          <w:b/>
          <w:bCs/>
          <w:sz w:val="18"/>
          <w:szCs w:val="18"/>
        </w:rPr>
        <w:t>Assumptions</w:t>
      </w:r>
    </w:p>
    <w:p w14:paraId="66A305A4" w14:textId="77777777" w:rsidR="00B84828" w:rsidRPr="00E77651" w:rsidRDefault="00B84828" w:rsidP="00E77651">
      <w:pPr>
        <w:numPr>
          <w:ilvl w:val="0"/>
          <w:numId w:val="12"/>
        </w:numPr>
        <w:contextualSpacing/>
        <w:rPr>
          <w:rFonts w:asciiTheme="minorHAnsi" w:hAnsiTheme="minorHAnsi"/>
          <w:sz w:val="18"/>
          <w:szCs w:val="18"/>
        </w:rPr>
      </w:pPr>
      <w:r w:rsidRPr="00E77651">
        <w:rPr>
          <w:rFonts w:asciiTheme="minorHAnsi" w:hAnsiTheme="minorHAnsi"/>
          <w:sz w:val="18"/>
          <w:szCs w:val="18"/>
        </w:rPr>
        <w:t>Independence of observations: Each client is only included once.</w:t>
      </w:r>
    </w:p>
    <w:p w14:paraId="171C6010" w14:textId="77777777" w:rsidR="00B84828" w:rsidRPr="00E77651" w:rsidRDefault="00B84828" w:rsidP="00E77651">
      <w:pPr>
        <w:numPr>
          <w:ilvl w:val="0"/>
          <w:numId w:val="12"/>
        </w:numPr>
        <w:contextualSpacing/>
        <w:rPr>
          <w:rFonts w:asciiTheme="minorHAnsi" w:hAnsiTheme="minorHAnsi"/>
          <w:sz w:val="18"/>
          <w:szCs w:val="18"/>
        </w:rPr>
      </w:pPr>
      <w:r w:rsidRPr="00E77651">
        <w:rPr>
          <w:rFonts w:asciiTheme="minorHAnsi" w:hAnsiTheme="minorHAnsi"/>
          <w:sz w:val="18"/>
          <w:szCs w:val="18"/>
        </w:rPr>
        <w:t>Sufficiently large sample sizes in each group to meet Chi-square assumptions.</w:t>
      </w:r>
    </w:p>
    <w:p w14:paraId="369E067A" w14:textId="77777777" w:rsidR="00B84828" w:rsidRPr="00E77651" w:rsidRDefault="00B84828" w:rsidP="00E77651">
      <w:pPr>
        <w:numPr>
          <w:ilvl w:val="0"/>
          <w:numId w:val="12"/>
        </w:numPr>
        <w:contextualSpacing/>
        <w:rPr>
          <w:rFonts w:asciiTheme="minorHAnsi" w:hAnsiTheme="minorHAnsi"/>
          <w:sz w:val="18"/>
          <w:szCs w:val="18"/>
        </w:rPr>
      </w:pPr>
      <w:r w:rsidRPr="00E77651">
        <w:rPr>
          <w:rFonts w:asciiTheme="minorHAnsi" w:hAnsiTheme="minorHAnsi"/>
          <w:sz w:val="18"/>
          <w:szCs w:val="18"/>
        </w:rPr>
        <w:t>Random allocation to condition (either randomised in the system or assigned quasi-randomly via scheduling procedure).</w:t>
      </w:r>
    </w:p>
    <w:p w14:paraId="44EF6716" w14:textId="77777777" w:rsidR="00B84828" w:rsidRPr="00E77651" w:rsidRDefault="00B84828" w:rsidP="00E77651">
      <w:pPr>
        <w:pStyle w:val="p1"/>
        <w:spacing w:before="0" w:beforeAutospacing="0" w:after="0" w:afterAutospacing="0"/>
        <w:ind w:left="360"/>
        <w:contextualSpacing/>
        <w:rPr>
          <w:rFonts w:asciiTheme="minorHAnsi" w:hAnsiTheme="minorHAnsi"/>
          <w:sz w:val="18"/>
          <w:szCs w:val="18"/>
        </w:rPr>
      </w:pPr>
    </w:p>
    <w:p w14:paraId="243B3560" w14:textId="5E18373E" w:rsidR="00B84828" w:rsidRPr="00E77651" w:rsidRDefault="00B84828" w:rsidP="00E77651">
      <w:pPr>
        <w:pStyle w:val="p1"/>
        <w:spacing w:before="0" w:beforeAutospacing="0" w:after="0" w:afterAutospacing="0"/>
        <w:contextualSpacing/>
        <w:rPr>
          <w:rFonts w:asciiTheme="minorHAnsi" w:hAnsiTheme="minorHAnsi"/>
          <w:sz w:val="18"/>
          <w:szCs w:val="18"/>
        </w:rPr>
      </w:pPr>
      <w:r w:rsidRPr="00E77651">
        <w:rPr>
          <w:rFonts w:asciiTheme="minorHAnsi" w:hAnsiTheme="minorHAnsi"/>
          <w:sz w:val="18"/>
          <w:szCs w:val="18"/>
        </w:rPr>
        <w:t>Prior to the experiment, historical attendance data from January to March 2018 was analysed to establish a baseline no-show rate across the nine Skinsmiths UK clinics.</w:t>
      </w:r>
    </w:p>
    <w:p w14:paraId="3CC49599" w14:textId="77777777" w:rsidR="00B84828" w:rsidRPr="00E77651" w:rsidRDefault="00B84828" w:rsidP="00E77651">
      <w:pPr>
        <w:pStyle w:val="p1"/>
        <w:spacing w:before="0" w:beforeAutospacing="0" w:after="0" w:afterAutospacing="0"/>
        <w:contextualSpacing/>
        <w:rPr>
          <w:rFonts w:asciiTheme="minorHAnsi" w:hAnsiTheme="minorHAnsi"/>
          <w:sz w:val="18"/>
          <w:szCs w:val="18"/>
        </w:rPr>
      </w:pPr>
      <w:r w:rsidRPr="00E77651">
        <w:rPr>
          <w:rFonts w:asciiTheme="minorHAnsi" w:hAnsiTheme="minorHAnsi"/>
          <w:sz w:val="18"/>
          <w:szCs w:val="18"/>
        </w:rPr>
        <w:t>Across the three months:</w:t>
      </w:r>
    </w:p>
    <w:p w14:paraId="5CABF455" w14:textId="51DE69DB" w:rsidR="00B84828" w:rsidRPr="00E77651" w:rsidRDefault="00B84828" w:rsidP="00E77651">
      <w:pPr>
        <w:pStyle w:val="p1"/>
        <w:numPr>
          <w:ilvl w:val="0"/>
          <w:numId w:val="13"/>
        </w:numPr>
        <w:spacing w:before="0" w:beforeAutospacing="0" w:after="0" w:afterAutospacing="0"/>
        <w:contextualSpacing/>
        <w:rPr>
          <w:rFonts w:asciiTheme="minorHAnsi" w:hAnsiTheme="minorHAnsi"/>
          <w:sz w:val="18"/>
          <w:szCs w:val="18"/>
        </w:rPr>
      </w:pPr>
      <w:r w:rsidRPr="00E77651">
        <w:rPr>
          <w:rFonts w:asciiTheme="minorHAnsi" w:hAnsiTheme="minorHAnsi"/>
          <w:sz w:val="18"/>
          <w:szCs w:val="18"/>
        </w:rPr>
        <w:t>Total January no-show rate:</w:t>
      </w:r>
      <w:r w:rsidRPr="00E77651">
        <w:rPr>
          <w:rStyle w:val="s1"/>
          <w:rFonts w:asciiTheme="minorHAnsi" w:eastAsiaTheme="majorEastAsia" w:hAnsiTheme="minorHAnsi"/>
          <w:sz w:val="18"/>
          <w:szCs w:val="18"/>
        </w:rPr>
        <w:t xml:space="preserve"> </w:t>
      </w:r>
      <w:r w:rsidRPr="00E77651">
        <w:rPr>
          <w:rFonts w:asciiTheme="minorHAnsi" w:hAnsiTheme="minorHAnsi"/>
          <w:sz w:val="18"/>
          <w:szCs w:val="18"/>
        </w:rPr>
        <w:t>14.81%</w:t>
      </w:r>
    </w:p>
    <w:p w14:paraId="4BC95458" w14:textId="50E3A5B5" w:rsidR="00B84828" w:rsidRPr="00E77651" w:rsidRDefault="00B84828" w:rsidP="00E77651">
      <w:pPr>
        <w:pStyle w:val="p1"/>
        <w:numPr>
          <w:ilvl w:val="0"/>
          <w:numId w:val="13"/>
        </w:numPr>
        <w:spacing w:before="0" w:beforeAutospacing="0" w:after="0" w:afterAutospacing="0"/>
        <w:contextualSpacing/>
        <w:rPr>
          <w:rFonts w:asciiTheme="minorHAnsi" w:hAnsiTheme="minorHAnsi"/>
          <w:sz w:val="18"/>
          <w:szCs w:val="18"/>
        </w:rPr>
      </w:pPr>
      <w:r w:rsidRPr="00E77651">
        <w:rPr>
          <w:rFonts w:asciiTheme="minorHAnsi" w:hAnsiTheme="minorHAnsi"/>
          <w:sz w:val="18"/>
          <w:szCs w:val="18"/>
        </w:rPr>
        <w:t>Total February no-show rate:</w:t>
      </w:r>
      <w:r w:rsidRPr="00E77651">
        <w:rPr>
          <w:rStyle w:val="s1"/>
          <w:rFonts w:asciiTheme="minorHAnsi" w:eastAsiaTheme="majorEastAsia" w:hAnsiTheme="minorHAnsi"/>
          <w:sz w:val="18"/>
          <w:szCs w:val="18"/>
        </w:rPr>
        <w:t xml:space="preserve"> </w:t>
      </w:r>
      <w:r w:rsidRPr="00E77651">
        <w:rPr>
          <w:rFonts w:asciiTheme="minorHAnsi" w:hAnsiTheme="minorHAnsi"/>
          <w:sz w:val="18"/>
          <w:szCs w:val="18"/>
        </w:rPr>
        <w:t>16.54%</w:t>
      </w:r>
    </w:p>
    <w:p w14:paraId="05B58A4A" w14:textId="30BC88E5" w:rsidR="00B84828" w:rsidRPr="00E77651" w:rsidRDefault="00B84828" w:rsidP="00E77651">
      <w:pPr>
        <w:pStyle w:val="p1"/>
        <w:numPr>
          <w:ilvl w:val="0"/>
          <w:numId w:val="13"/>
        </w:numPr>
        <w:spacing w:before="0" w:beforeAutospacing="0" w:after="0" w:afterAutospacing="0"/>
        <w:contextualSpacing/>
        <w:rPr>
          <w:rFonts w:asciiTheme="minorHAnsi" w:hAnsiTheme="minorHAnsi"/>
          <w:sz w:val="18"/>
          <w:szCs w:val="18"/>
        </w:rPr>
      </w:pPr>
      <w:r w:rsidRPr="00E77651">
        <w:rPr>
          <w:rFonts w:asciiTheme="minorHAnsi" w:hAnsiTheme="minorHAnsi"/>
          <w:sz w:val="18"/>
          <w:szCs w:val="18"/>
        </w:rPr>
        <w:t>Total March no-show rate:</w:t>
      </w:r>
      <w:r w:rsidRPr="00E77651">
        <w:rPr>
          <w:rStyle w:val="s1"/>
          <w:rFonts w:asciiTheme="minorHAnsi" w:eastAsiaTheme="majorEastAsia" w:hAnsiTheme="minorHAnsi"/>
          <w:sz w:val="18"/>
          <w:szCs w:val="18"/>
        </w:rPr>
        <w:t xml:space="preserve"> </w:t>
      </w:r>
      <w:r w:rsidRPr="00E77651">
        <w:rPr>
          <w:rFonts w:asciiTheme="minorHAnsi" w:hAnsiTheme="minorHAnsi"/>
          <w:sz w:val="18"/>
          <w:szCs w:val="18"/>
        </w:rPr>
        <w:t>15.29%</w:t>
      </w:r>
    </w:p>
    <w:p w14:paraId="2086F5F4" w14:textId="25D43FA0" w:rsidR="00B84828" w:rsidRPr="00E77651" w:rsidRDefault="00B84828" w:rsidP="00E77651">
      <w:pPr>
        <w:pStyle w:val="p1"/>
        <w:numPr>
          <w:ilvl w:val="0"/>
          <w:numId w:val="13"/>
        </w:numPr>
        <w:spacing w:before="0" w:beforeAutospacing="0" w:after="0" w:afterAutospacing="0"/>
        <w:contextualSpacing/>
        <w:rPr>
          <w:rFonts w:asciiTheme="minorHAnsi" w:hAnsiTheme="minorHAnsi"/>
          <w:sz w:val="18"/>
          <w:szCs w:val="18"/>
        </w:rPr>
      </w:pPr>
      <w:r w:rsidRPr="00E77651">
        <w:rPr>
          <w:rStyle w:val="s1"/>
          <w:rFonts w:asciiTheme="minorHAnsi" w:eastAsiaTheme="majorEastAsia" w:hAnsiTheme="minorHAnsi"/>
          <w:sz w:val="18"/>
          <w:szCs w:val="18"/>
        </w:rPr>
        <w:t>Overall average no-show rate:</w:t>
      </w:r>
      <w:r w:rsidRPr="00E77651">
        <w:rPr>
          <w:rFonts w:asciiTheme="minorHAnsi" w:hAnsiTheme="minorHAnsi"/>
          <w:sz w:val="18"/>
          <w:szCs w:val="18"/>
        </w:rPr>
        <w:t xml:space="preserve"> </w:t>
      </w:r>
      <w:r w:rsidRPr="00E77651">
        <w:rPr>
          <w:rStyle w:val="s1"/>
          <w:rFonts w:asciiTheme="minorHAnsi" w:eastAsiaTheme="majorEastAsia" w:hAnsiTheme="minorHAnsi"/>
          <w:sz w:val="18"/>
          <w:szCs w:val="18"/>
        </w:rPr>
        <w:t>15.5%</w:t>
      </w:r>
    </w:p>
    <w:p w14:paraId="07E7EFC5" w14:textId="77777777" w:rsidR="00B84828" w:rsidRPr="00E77651" w:rsidRDefault="00B84828" w:rsidP="00E77651">
      <w:pPr>
        <w:pStyle w:val="p1"/>
        <w:spacing w:before="0" w:beforeAutospacing="0" w:after="0" w:afterAutospacing="0"/>
        <w:ind w:left="360"/>
        <w:contextualSpacing/>
        <w:rPr>
          <w:rFonts w:asciiTheme="minorHAnsi" w:hAnsiTheme="minorHAnsi"/>
          <w:sz w:val="18"/>
          <w:szCs w:val="18"/>
        </w:rPr>
      </w:pPr>
    </w:p>
    <w:p w14:paraId="0F1F0BBB" w14:textId="5173E51E" w:rsidR="00DD353C" w:rsidRPr="00E77651" w:rsidRDefault="00DD353C" w:rsidP="00E77651">
      <w:pPr>
        <w:contextualSpacing/>
        <w:jc w:val="both"/>
        <w:rPr>
          <w:rFonts w:asciiTheme="minorHAnsi" w:hAnsiTheme="minorHAnsi"/>
          <w:sz w:val="18"/>
          <w:szCs w:val="18"/>
        </w:rPr>
      </w:pPr>
    </w:p>
    <w:p w14:paraId="3D1ED63E" w14:textId="1F953BB4" w:rsidR="00FC6E9F" w:rsidRPr="00E77651" w:rsidRDefault="00FC6E9F" w:rsidP="00FD4751">
      <w:pPr>
        <w:contextualSpacing/>
        <w:jc w:val="center"/>
        <w:rPr>
          <w:rFonts w:asciiTheme="minorHAnsi" w:hAnsiTheme="minorHAnsi"/>
          <w:b/>
          <w:bCs/>
          <w:sz w:val="18"/>
          <w:szCs w:val="18"/>
        </w:rPr>
      </w:pPr>
      <w:r w:rsidRPr="00E77651">
        <w:rPr>
          <w:rFonts w:asciiTheme="minorHAnsi" w:hAnsiTheme="minorHAnsi"/>
          <w:b/>
          <w:bCs/>
          <w:sz w:val="18"/>
          <w:szCs w:val="18"/>
        </w:rPr>
        <w:t>Results</w:t>
      </w:r>
    </w:p>
    <w:p w14:paraId="1978FF6C" w14:textId="6F503F62" w:rsidR="00E77651" w:rsidRPr="00E77651" w:rsidRDefault="00E77651" w:rsidP="00E77651">
      <w:pPr>
        <w:contextualSpacing/>
        <w:outlineLvl w:val="3"/>
        <w:rPr>
          <w:rFonts w:asciiTheme="minorHAnsi" w:hAnsiTheme="minorHAnsi"/>
          <w:b/>
          <w:bCs/>
          <w:sz w:val="18"/>
          <w:szCs w:val="18"/>
        </w:rPr>
      </w:pPr>
      <w:r w:rsidRPr="00E77651">
        <w:rPr>
          <w:rFonts w:asciiTheme="minorHAnsi" w:hAnsiTheme="minorHAnsi"/>
          <w:b/>
          <w:bCs/>
          <w:sz w:val="18"/>
          <w:szCs w:val="18"/>
        </w:rPr>
        <w:t>April:</w:t>
      </w:r>
      <w:r>
        <w:rPr>
          <w:rFonts w:asciiTheme="minorHAnsi" w:hAnsiTheme="minorHAnsi"/>
          <w:b/>
          <w:bCs/>
          <w:sz w:val="18"/>
          <w:szCs w:val="18"/>
        </w:rPr>
        <w:t xml:space="preserve"> </w:t>
      </w:r>
      <w:r w:rsidRPr="00E77651">
        <w:rPr>
          <w:rFonts w:asciiTheme="minorHAnsi" w:hAnsiTheme="minorHAnsi"/>
          <w:sz w:val="18"/>
          <w:szCs w:val="18"/>
        </w:rPr>
        <w:t>No message condition achieved statistically significant improvement over the Control in any clinic at the 0.05 level, though a few showed trends towards improvement:</w:t>
      </w:r>
    </w:p>
    <w:p w14:paraId="51EB9944" w14:textId="77777777" w:rsidR="00E77651" w:rsidRPr="00E77651" w:rsidRDefault="00E77651" w:rsidP="00E77651">
      <w:pPr>
        <w:numPr>
          <w:ilvl w:val="0"/>
          <w:numId w:val="15"/>
        </w:numPr>
        <w:contextualSpacing/>
        <w:rPr>
          <w:rFonts w:asciiTheme="minorHAnsi" w:hAnsiTheme="minorHAnsi"/>
          <w:sz w:val="18"/>
          <w:szCs w:val="18"/>
        </w:rPr>
      </w:pPr>
      <w:r w:rsidRPr="00E77651">
        <w:rPr>
          <w:rFonts w:asciiTheme="minorHAnsi" w:hAnsiTheme="minorHAnsi"/>
          <w:b/>
          <w:bCs/>
          <w:sz w:val="18"/>
          <w:szCs w:val="18"/>
        </w:rPr>
        <w:t>Clapham South</w:t>
      </w:r>
      <w:r w:rsidRPr="00E77651">
        <w:rPr>
          <w:rFonts w:asciiTheme="minorHAnsi" w:hAnsiTheme="minorHAnsi"/>
          <w:sz w:val="18"/>
          <w:szCs w:val="18"/>
        </w:rPr>
        <w:t xml:space="preserve">: </w:t>
      </w:r>
      <w:proofErr w:type="spellStart"/>
      <w:r w:rsidRPr="00E77651">
        <w:rPr>
          <w:rFonts w:asciiTheme="minorHAnsi" w:hAnsiTheme="minorHAnsi"/>
          <w:i/>
          <w:iCs/>
          <w:sz w:val="18"/>
          <w:szCs w:val="18"/>
        </w:rPr>
        <w:t>ClientName</w:t>
      </w:r>
      <w:proofErr w:type="spellEnd"/>
      <w:r w:rsidRPr="00E77651">
        <w:rPr>
          <w:rFonts w:asciiTheme="minorHAnsi" w:hAnsiTheme="minorHAnsi"/>
          <w:sz w:val="18"/>
          <w:szCs w:val="18"/>
        </w:rPr>
        <w:t xml:space="preserve"> vs Control showed a borderline trend (z=1.78, p=0.075)</w:t>
      </w:r>
    </w:p>
    <w:p w14:paraId="5663A709" w14:textId="77777777" w:rsidR="00E77651" w:rsidRPr="00E77651" w:rsidRDefault="00E77651" w:rsidP="00E77651">
      <w:pPr>
        <w:numPr>
          <w:ilvl w:val="0"/>
          <w:numId w:val="15"/>
        </w:numPr>
        <w:contextualSpacing/>
        <w:rPr>
          <w:rFonts w:asciiTheme="minorHAnsi" w:hAnsiTheme="minorHAnsi"/>
          <w:sz w:val="18"/>
          <w:szCs w:val="18"/>
        </w:rPr>
      </w:pPr>
      <w:r w:rsidRPr="00E77651">
        <w:rPr>
          <w:rFonts w:asciiTheme="minorHAnsi" w:hAnsiTheme="minorHAnsi"/>
          <w:b/>
          <w:bCs/>
          <w:sz w:val="18"/>
          <w:szCs w:val="18"/>
        </w:rPr>
        <w:t>Wimbledon Village</w:t>
      </w:r>
      <w:r w:rsidRPr="00E77651">
        <w:rPr>
          <w:rFonts w:asciiTheme="minorHAnsi" w:hAnsiTheme="minorHAnsi"/>
          <w:sz w:val="18"/>
          <w:szCs w:val="18"/>
        </w:rPr>
        <w:t xml:space="preserve">: </w:t>
      </w:r>
      <w:r w:rsidRPr="00E77651">
        <w:rPr>
          <w:rFonts w:asciiTheme="minorHAnsi" w:hAnsiTheme="minorHAnsi"/>
          <w:i/>
          <w:iCs/>
          <w:sz w:val="18"/>
          <w:szCs w:val="18"/>
        </w:rPr>
        <w:t>Reciprocity</w:t>
      </w:r>
      <w:r w:rsidRPr="00E77651">
        <w:rPr>
          <w:rFonts w:asciiTheme="minorHAnsi" w:hAnsiTheme="minorHAnsi"/>
          <w:sz w:val="18"/>
          <w:szCs w:val="18"/>
        </w:rPr>
        <w:t xml:space="preserve"> vs Control (z=1.83, p=0.068)</w:t>
      </w:r>
    </w:p>
    <w:p w14:paraId="480BDC3C" w14:textId="77777777" w:rsidR="00E77651" w:rsidRPr="00E77651" w:rsidRDefault="00E77651" w:rsidP="00E77651">
      <w:pPr>
        <w:numPr>
          <w:ilvl w:val="0"/>
          <w:numId w:val="15"/>
        </w:numPr>
        <w:contextualSpacing/>
        <w:rPr>
          <w:rFonts w:asciiTheme="minorHAnsi" w:hAnsiTheme="minorHAnsi"/>
          <w:sz w:val="18"/>
          <w:szCs w:val="18"/>
        </w:rPr>
      </w:pPr>
      <w:r w:rsidRPr="00E77651">
        <w:rPr>
          <w:rFonts w:asciiTheme="minorHAnsi" w:hAnsiTheme="minorHAnsi"/>
          <w:b/>
          <w:bCs/>
          <w:sz w:val="18"/>
          <w:szCs w:val="18"/>
        </w:rPr>
        <w:t>Esher</w:t>
      </w:r>
      <w:r w:rsidRPr="00E77651">
        <w:rPr>
          <w:rFonts w:asciiTheme="minorHAnsi" w:hAnsiTheme="minorHAnsi"/>
          <w:sz w:val="18"/>
          <w:szCs w:val="18"/>
        </w:rPr>
        <w:t xml:space="preserve">: </w:t>
      </w:r>
      <w:r w:rsidRPr="00E77651">
        <w:rPr>
          <w:rFonts w:asciiTheme="minorHAnsi" w:hAnsiTheme="minorHAnsi"/>
          <w:i/>
          <w:iCs/>
          <w:sz w:val="18"/>
          <w:szCs w:val="18"/>
        </w:rPr>
        <w:t>Reciprocity</w:t>
      </w:r>
      <w:r w:rsidRPr="00E77651">
        <w:rPr>
          <w:rFonts w:asciiTheme="minorHAnsi" w:hAnsiTheme="minorHAnsi"/>
          <w:sz w:val="18"/>
          <w:szCs w:val="18"/>
        </w:rPr>
        <w:t xml:space="preserve"> vs Control (z=1.86, p=0.062)</w:t>
      </w:r>
    </w:p>
    <w:p w14:paraId="0A0CCD15" w14:textId="77777777" w:rsidR="00E77651" w:rsidRPr="00E77651" w:rsidRDefault="00E77651" w:rsidP="00E77651">
      <w:pPr>
        <w:numPr>
          <w:ilvl w:val="0"/>
          <w:numId w:val="15"/>
        </w:numPr>
        <w:contextualSpacing/>
        <w:rPr>
          <w:rFonts w:asciiTheme="minorHAnsi" w:hAnsiTheme="minorHAnsi"/>
          <w:sz w:val="18"/>
          <w:szCs w:val="18"/>
        </w:rPr>
      </w:pPr>
      <w:r w:rsidRPr="00E77651">
        <w:rPr>
          <w:rFonts w:asciiTheme="minorHAnsi" w:hAnsiTheme="minorHAnsi"/>
          <w:b/>
          <w:bCs/>
          <w:sz w:val="18"/>
          <w:szCs w:val="18"/>
        </w:rPr>
        <w:t>Belgravia</w:t>
      </w:r>
      <w:r w:rsidRPr="00E77651">
        <w:rPr>
          <w:rFonts w:asciiTheme="minorHAnsi" w:hAnsiTheme="minorHAnsi"/>
          <w:sz w:val="18"/>
          <w:szCs w:val="18"/>
        </w:rPr>
        <w:t xml:space="preserve">: </w:t>
      </w:r>
      <w:proofErr w:type="spellStart"/>
      <w:r w:rsidRPr="00E77651">
        <w:rPr>
          <w:rFonts w:asciiTheme="minorHAnsi" w:hAnsiTheme="minorHAnsi"/>
          <w:i/>
          <w:iCs/>
          <w:sz w:val="18"/>
          <w:szCs w:val="18"/>
        </w:rPr>
        <w:t>SchedulerName</w:t>
      </w:r>
      <w:proofErr w:type="spellEnd"/>
      <w:r w:rsidRPr="00E77651">
        <w:rPr>
          <w:rFonts w:asciiTheme="minorHAnsi" w:hAnsiTheme="minorHAnsi"/>
          <w:sz w:val="18"/>
          <w:szCs w:val="18"/>
        </w:rPr>
        <w:t xml:space="preserve"> vs Control (z=1.84, p=0.065)</w:t>
      </w:r>
    </w:p>
    <w:p w14:paraId="042CDF56" w14:textId="5F4F56FB" w:rsidR="00E77651" w:rsidRPr="00E77651" w:rsidRDefault="00E77651" w:rsidP="00E77651">
      <w:pPr>
        <w:contextualSpacing/>
        <w:rPr>
          <w:rFonts w:asciiTheme="minorHAnsi" w:hAnsiTheme="minorHAnsi"/>
          <w:sz w:val="18"/>
          <w:szCs w:val="18"/>
        </w:rPr>
      </w:pPr>
    </w:p>
    <w:p w14:paraId="21EC26A1" w14:textId="7B656BD5" w:rsidR="00E77651" w:rsidRPr="00E77651" w:rsidRDefault="00E77651" w:rsidP="00E77651">
      <w:pPr>
        <w:contextualSpacing/>
        <w:outlineLvl w:val="3"/>
        <w:rPr>
          <w:rFonts w:asciiTheme="minorHAnsi" w:hAnsiTheme="minorHAnsi"/>
          <w:b/>
          <w:bCs/>
          <w:sz w:val="18"/>
          <w:szCs w:val="18"/>
        </w:rPr>
      </w:pPr>
      <w:r w:rsidRPr="00E77651">
        <w:rPr>
          <w:rFonts w:asciiTheme="minorHAnsi" w:hAnsiTheme="minorHAnsi"/>
          <w:b/>
          <w:bCs/>
          <w:sz w:val="18"/>
          <w:szCs w:val="18"/>
        </w:rPr>
        <w:t>May:</w:t>
      </w:r>
      <w:r>
        <w:rPr>
          <w:rFonts w:asciiTheme="minorHAnsi" w:hAnsiTheme="minorHAnsi"/>
          <w:b/>
          <w:bCs/>
          <w:sz w:val="18"/>
          <w:szCs w:val="18"/>
        </w:rPr>
        <w:t xml:space="preserve"> </w:t>
      </w:r>
      <w:r w:rsidRPr="00E77651">
        <w:rPr>
          <w:rFonts w:asciiTheme="minorHAnsi" w:hAnsiTheme="minorHAnsi"/>
          <w:sz w:val="18"/>
          <w:szCs w:val="18"/>
        </w:rPr>
        <w:t>Stronger effects were observed, with several significant improvements in show rates relative to Control:</w:t>
      </w:r>
    </w:p>
    <w:p w14:paraId="7B92A316" w14:textId="77777777" w:rsidR="00E77651" w:rsidRPr="00E77651" w:rsidRDefault="00E77651" w:rsidP="00E77651">
      <w:pPr>
        <w:numPr>
          <w:ilvl w:val="0"/>
          <w:numId w:val="16"/>
        </w:numPr>
        <w:contextualSpacing/>
        <w:rPr>
          <w:rFonts w:asciiTheme="minorHAnsi" w:hAnsiTheme="minorHAnsi"/>
          <w:sz w:val="18"/>
          <w:szCs w:val="18"/>
        </w:rPr>
      </w:pPr>
      <w:r w:rsidRPr="00E77651">
        <w:rPr>
          <w:rFonts w:asciiTheme="minorHAnsi" w:hAnsiTheme="minorHAnsi"/>
          <w:b/>
          <w:bCs/>
          <w:sz w:val="18"/>
          <w:szCs w:val="18"/>
        </w:rPr>
        <w:t>Clapham South</w:t>
      </w:r>
      <w:r w:rsidRPr="00E77651">
        <w:rPr>
          <w:rFonts w:asciiTheme="minorHAnsi" w:hAnsiTheme="minorHAnsi"/>
          <w:sz w:val="18"/>
          <w:szCs w:val="18"/>
        </w:rPr>
        <w:t xml:space="preserve">: </w:t>
      </w:r>
      <w:proofErr w:type="spellStart"/>
      <w:r w:rsidRPr="00E77651">
        <w:rPr>
          <w:rFonts w:asciiTheme="minorHAnsi" w:hAnsiTheme="minorHAnsi"/>
          <w:i/>
          <w:iCs/>
          <w:sz w:val="18"/>
          <w:szCs w:val="18"/>
        </w:rPr>
        <w:t>ClientName</w:t>
      </w:r>
      <w:proofErr w:type="spellEnd"/>
      <w:r w:rsidRPr="00E77651">
        <w:rPr>
          <w:rFonts w:asciiTheme="minorHAnsi" w:hAnsiTheme="minorHAnsi"/>
          <w:sz w:val="18"/>
          <w:szCs w:val="18"/>
        </w:rPr>
        <w:t xml:space="preserve"> and </w:t>
      </w:r>
      <w:proofErr w:type="spellStart"/>
      <w:r w:rsidRPr="00E77651">
        <w:rPr>
          <w:rFonts w:asciiTheme="minorHAnsi" w:hAnsiTheme="minorHAnsi"/>
          <w:i/>
          <w:iCs/>
          <w:sz w:val="18"/>
          <w:szCs w:val="18"/>
        </w:rPr>
        <w:t>SchedulerName</w:t>
      </w:r>
      <w:proofErr w:type="spellEnd"/>
      <w:r w:rsidRPr="00E77651">
        <w:rPr>
          <w:rFonts w:asciiTheme="minorHAnsi" w:hAnsiTheme="minorHAnsi"/>
          <w:sz w:val="18"/>
          <w:szCs w:val="18"/>
        </w:rPr>
        <w:t xml:space="preserve"> messages both significantly improved attendance (p≈0.039)</w:t>
      </w:r>
    </w:p>
    <w:p w14:paraId="43877076" w14:textId="77777777" w:rsidR="00E77651" w:rsidRPr="00E77651" w:rsidRDefault="00E77651" w:rsidP="00E77651">
      <w:pPr>
        <w:numPr>
          <w:ilvl w:val="0"/>
          <w:numId w:val="16"/>
        </w:numPr>
        <w:contextualSpacing/>
        <w:rPr>
          <w:rFonts w:asciiTheme="minorHAnsi" w:hAnsiTheme="minorHAnsi"/>
          <w:sz w:val="18"/>
          <w:szCs w:val="18"/>
        </w:rPr>
      </w:pPr>
      <w:r w:rsidRPr="00E77651">
        <w:rPr>
          <w:rFonts w:asciiTheme="minorHAnsi" w:hAnsiTheme="minorHAnsi"/>
          <w:b/>
          <w:bCs/>
          <w:sz w:val="18"/>
          <w:szCs w:val="18"/>
        </w:rPr>
        <w:t>Tower Bridge</w:t>
      </w:r>
      <w:r w:rsidRPr="00E77651">
        <w:rPr>
          <w:rFonts w:asciiTheme="minorHAnsi" w:hAnsiTheme="minorHAnsi"/>
          <w:sz w:val="18"/>
          <w:szCs w:val="18"/>
        </w:rPr>
        <w:t xml:space="preserve">: </w:t>
      </w:r>
      <w:proofErr w:type="spellStart"/>
      <w:r w:rsidRPr="00E77651">
        <w:rPr>
          <w:rFonts w:asciiTheme="minorHAnsi" w:hAnsiTheme="minorHAnsi"/>
          <w:i/>
          <w:iCs/>
          <w:sz w:val="18"/>
          <w:szCs w:val="18"/>
        </w:rPr>
        <w:t>SchedulerName</w:t>
      </w:r>
      <w:proofErr w:type="spellEnd"/>
      <w:r w:rsidRPr="00E77651">
        <w:rPr>
          <w:rFonts w:asciiTheme="minorHAnsi" w:hAnsiTheme="minorHAnsi"/>
          <w:sz w:val="18"/>
          <w:szCs w:val="18"/>
        </w:rPr>
        <w:t xml:space="preserve"> message improved attendance (p≈0.030)</w:t>
      </w:r>
    </w:p>
    <w:p w14:paraId="3DF2473E" w14:textId="77777777" w:rsidR="00E77651" w:rsidRPr="00E77651" w:rsidRDefault="00E77651" w:rsidP="00E77651">
      <w:pPr>
        <w:numPr>
          <w:ilvl w:val="0"/>
          <w:numId w:val="16"/>
        </w:numPr>
        <w:contextualSpacing/>
        <w:rPr>
          <w:rFonts w:asciiTheme="minorHAnsi" w:hAnsiTheme="minorHAnsi"/>
          <w:sz w:val="18"/>
          <w:szCs w:val="18"/>
        </w:rPr>
      </w:pPr>
      <w:r w:rsidRPr="00E77651">
        <w:rPr>
          <w:rFonts w:asciiTheme="minorHAnsi" w:hAnsiTheme="minorHAnsi"/>
          <w:b/>
          <w:bCs/>
          <w:sz w:val="18"/>
          <w:szCs w:val="18"/>
        </w:rPr>
        <w:t>Wimbledon Village</w:t>
      </w:r>
      <w:r w:rsidRPr="00E77651">
        <w:rPr>
          <w:rFonts w:asciiTheme="minorHAnsi" w:hAnsiTheme="minorHAnsi"/>
          <w:sz w:val="18"/>
          <w:szCs w:val="18"/>
        </w:rPr>
        <w:t xml:space="preserve">: </w:t>
      </w:r>
      <w:proofErr w:type="spellStart"/>
      <w:r w:rsidRPr="00E77651">
        <w:rPr>
          <w:rFonts w:asciiTheme="minorHAnsi" w:hAnsiTheme="minorHAnsi"/>
          <w:i/>
          <w:iCs/>
          <w:sz w:val="18"/>
          <w:szCs w:val="18"/>
        </w:rPr>
        <w:t>SchedulerName</w:t>
      </w:r>
      <w:proofErr w:type="spellEnd"/>
      <w:r w:rsidRPr="00E77651">
        <w:rPr>
          <w:rFonts w:asciiTheme="minorHAnsi" w:hAnsiTheme="minorHAnsi"/>
          <w:sz w:val="18"/>
          <w:szCs w:val="18"/>
        </w:rPr>
        <w:t xml:space="preserve"> message improved attendance (p≈0.012)</w:t>
      </w:r>
    </w:p>
    <w:p w14:paraId="12A3F057" w14:textId="77777777" w:rsidR="00E77651" w:rsidRPr="00E77651" w:rsidRDefault="00E77651" w:rsidP="00E77651">
      <w:pPr>
        <w:numPr>
          <w:ilvl w:val="0"/>
          <w:numId w:val="16"/>
        </w:numPr>
        <w:contextualSpacing/>
        <w:rPr>
          <w:rFonts w:asciiTheme="minorHAnsi" w:hAnsiTheme="minorHAnsi"/>
          <w:sz w:val="18"/>
          <w:szCs w:val="18"/>
        </w:rPr>
      </w:pPr>
      <w:r w:rsidRPr="00E77651">
        <w:rPr>
          <w:rFonts w:asciiTheme="minorHAnsi" w:hAnsiTheme="minorHAnsi"/>
          <w:b/>
          <w:bCs/>
          <w:sz w:val="18"/>
          <w:szCs w:val="18"/>
        </w:rPr>
        <w:t>Liverpool St</w:t>
      </w:r>
      <w:r w:rsidRPr="00E77651">
        <w:rPr>
          <w:rFonts w:asciiTheme="minorHAnsi" w:hAnsiTheme="minorHAnsi"/>
          <w:sz w:val="18"/>
          <w:szCs w:val="18"/>
        </w:rPr>
        <w:t xml:space="preserve">: Both </w:t>
      </w:r>
      <w:proofErr w:type="spellStart"/>
      <w:r w:rsidRPr="00E77651">
        <w:rPr>
          <w:rFonts w:asciiTheme="minorHAnsi" w:hAnsiTheme="minorHAnsi"/>
          <w:i/>
          <w:iCs/>
          <w:sz w:val="18"/>
          <w:szCs w:val="18"/>
        </w:rPr>
        <w:t>SchedulerName</w:t>
      </w:r>
      <w:proofErr w:type="spellEnd"/>
      <w:r w:rsidRPr="00E77651">
        <w:rPr>
          <w:rFonts w:asciiTheme="minorHAnsi" w:hAnsiTheme="minorHAnsi"/>
          <w:sz w:val="18"/>
          <w:szCs w:val="18"/>
        </w:rPr>
        <w:t xml:space="preserve"> and </w:t>
      </w:r>
      <w:r w:rsidRPr="00E77651">
        <w:rPr>
          <w:rFonts w:asciiTheme="minorHAnsi" w:hAnsiTheme="minorHAnsi"/>
          <w:i/>
          <w:iCs/>
          <w:sz w:val="18"/>
          <w:szCs w:val="18"/>
        </w:rPr>
        <w:t>Reciprocity</w:t>
      </w:r>
      <w:r w:rsidRPr="00E77651">
        <w:rPr>
          <w:rFonts w:asciiTheme="minorHAnsi" w:hAnsiTheme="minorHAnsi"/>
          <w:sz w:val="18"/>
          <w:szCs w:val="18"/>
        </w:rPr>
        <w:t xml:space="preserve"> messages showed significant improvement (p≈0.011)</w:t>
      </w:r>
    </w:p>
    <w:p w14:paraId="3647F2C7" w14:textId="77777777" w:rsidR="00E77651" w:rsidRPr="00E77651" w:rsidRDefault="00E77651" w:rsidP="00E77651">
      <w:pPr>
        <w:numPr>
          <w:ilvl w:val="0"/>
          <w:numId w:val="16"/>
        </w:numPr>
        <w:contextualSpacing/>
        <w:rPr>
          <w:rFonts w:asciiTheme="minorHAnsi" w:hAnsiTheme="minorHAnsi"/>
          <w:sz w:val="18"/>
          <w:szCs w:val="18"/>
        </w:rPr>
      </w:pPr>
      <w:r w:rsidRPr="00E77651">
        <w:rPr>
          <w:rFonts w:asciiTheme="minorHAnsi" w:hAnsiTheme="minorHAnsi"/>
          <w:b/>
          <w:bCs/>
          <w:sz w:val="18"/>
          <w:szCs w:val="18"/>
        </w:rPr>
        <w:t>Bushey</w:t>
      </w:r>
      <w:r w:rsidRPr="00E77651">
        <w:rPr>
          <w:rFonts w:asciiTheme="minorHAnsi" w:hAnsiTheme="minorHAnsi"/>
          <w:sz w:val="18"/>
          <w:szCs w:val="18"/>
        </w:rPr>
        <w:t>: All three messages (</w:t>
      </w:r>
      <w:proofErr w:type="spellStart"/>
      <w:r w:rsidRPr="00E77651">
        <w:rPr>
          <w:rFonts w:asciiTheme="minorHAnsi" w:hAnsiTheme="minorHAnsi"/>
          <w:i/>
          <w:iCs/>
          <w:sz w:val="18"/>
          <w:szCs w:val="18"/>
        </w:rPr>
        <w:t>ClientName</w:t>
      </w:r>
      <w:proofErr w:type="spellEnd"/>
      <w:r w:rsidRPr="00E77651">
        <w:rPr>
          <w:rFonts w:asciiTheme="minorHAnsi" w:hAnsiTheme="minorHAnsi"/>
          <w:sz w:val="18"/>
          <w:szCs w:val="18"/>
        </w:rPr>
        <w:t xml:space="preserve">, </w:t>
      </w:r>
      <w:proofErr w:type="spellStart"/>
      <w:r w:rsidRPr="00E77651">
        <w:rPr>
          <w:rFonts w:asciiTheme="minorHAnsi" w:hAnsiTheme="minorHAnsi"/>
          <w:i/>
          <w:iCs/>
          <w:sz w:val="18"/>
          <w:szCs w:val="18"/>
        </w:rPr>
        <w:t>SchedulerName</w:t>
      </w:r>
      <w:proofErr w:type="spellEnd"/>
      <w:r w:rsidRPr="00E77651">
        <w:rPr>
          <w:rFonts w:asciiTheme="minorHAnsi" w:hAnsiTheme="minorHAnsi"/>
          <w:sz w:val="18"/>
          <w:szCs w:val="18"/>
        </w:rPr>
        <w:t xml:space="preserve">, </w:t>
      </w:r>
      <w:r w:rsidRPr="00E77651">
        <w:rPr>
          <w:rFonts w:asciiTheme="minorHAnsi" w:hAnsiTheme="minorHAnsi"/>
          <w:i/>
          <w:iCs/>
          <w:sz w:val="18"/>
          <w:szCs w:val="18"/>
        </w:rPr>
        <w:t>Reciprocity</w:t>
      </w:r>
      <w:r w:rsidRPr="00E77651">
        <w:rPr>
          <w:rFonts w:asciiTheme="minorHAnsi" w:hAnsiTheme="minorHAnsi"/>
          <w:sz w:val="18"/>
          <w:szCs w:val="18"/>
        </w:rPr>
        <w:t>) significantly improved attendance (p≈0.034)</w:t>
      </w:r>
    </w:p>
    <w:p w14:paraId="0139867A" w14:textId="77777777" w:rsidR="00E77651" w:rsidRPr="00E77651" w:rsidRDefault="00E77651" w:rsidP="00E77651">
      <w:pPr>
        <w:numPr>
          <w:ilvl w:val="0"/>
          <w:numId w:val="16"/>
        </w:numPr>
        <w:contextualSpacing/>
        <w:rPr>
          <w:rFonts w:asciiTheme="minorHAnsi" w:hAnsiTheme="minorHAnsi"/>
          <w:sz w:val="18"/>
          <w:szCs w:val="18"/>
        </w:rPr>
      </w:pPr>
      <w:r w:rsidRPr="00E77651">
        <w:rPr>
          <w:rFonts w:asciiTheme="minorHAnsi" w:hAnsiTheme="minorHAnsi"/>
          <w:b/>
          <w:bCs/>
          <w:sz w:val="18"/>
          <w:szCs w:val="18"/>
        </w:rPr>
        <w:t>Belgravia</w:t>
      </w:r>
      <w:r w:rsidRPr="00E77651">
        <w:rPr>
          <w:rFonts w:asciiTheme="minorHAnsi" w:hAnsiTheme="minorHAnsi"/>
          <w:sz w:val="18"/>
          <w:szCs w:val="18"/>
        </w:rPr>
        <w:t xml:space="preserve">: </w:t>
      </w:r>
      <w:proofErr w:type="spellStart"/>
      <w:r w:rsidRPr="00E77651">
        <w:rPr>
          <w:rFonts w:asciiTheme="minorHAnsi" w:hAnsiTheme="minorHAnsi"/>
          <w:i/>
          <w:iCs/>
          <w:sz w:val="18"/>
          <w:szCs w:val="18"/>
        </w:rPr>
        <w:t>ClientName</w:t>
      </w:r>
      <w:proofErr w:type="spellEnd"/>
      <w:r w:rsidRPr="00E77651">
        <w:rPr>
          <w:rFonts w:asciiTheme="minorHAnsi" w:hAnsiTheme="minorHAnsi"/>
          <w:sz w:val="18"/>
          <w:szCs w:val="18"/>
        </w:rPr>
        <w:t xml:space="preserve"> and </w:t>
      </w:r>
      <w:r w:rsidRPr="00E77651">
        <w:rPr>
          <w:rFonts w:asciiTheme="minorHAnsi" w:hAnsiTheme="minorHAnsi"/>
          <w:i/>
          <w:iCs/>
          <w:sz w:val="18"/>
          <w:szCs w:val="18"/>
        </w:rPr>
        <w:t>Reciprocity</w:t>
      </w:r>
      <w:r w:rsidRPr="00E77651">
        <w:rPr>
          <w:rFonts w:asciiTheme="minorHAnsi" w:hAnsiTheme="minorHAnsi"/>
          <w:sz w:val="18"/>
          <w:szCs w:val="18"/>
        </w:rPr>
        <w:t xml:space="preserve"> messages improved attendance (p≈0.034)</w:t>
      </w:r>
    </w:p>
    <w:p w14:paraId="16E8A30E" w14:textId="77777777" w:rsidR="00E77651" w:rsidRPr="00E77651" w:rsidRDefault="00E77651" w:rsidP="00E77651">
      <w:pPr>
        <w:numPr>
          <w:ilvl w:val="0"/>
          <w:numId w:val="16"/>
        </w:numPr>
        <w:contextualSpacing/>
        <w:rPr>
          <w:rFonts w:asciiTheme="minorHAnsi" w:hAnsiTheme="minorHAnsi"/>
          <w:sz w:val="18"/>
          <w:szCs w:val="18"/>
        </w:rPr>
      </w:pPr>
      <w:r w:rsidRPr="00E77651">
        <w:rPr>
          <w:rFonts w:asciiTheme="minorHAnsi" w:hAnsiTheme="minorHAnsi"/>
          <w:b/>
          <w:bCs/>
          <w:sz w:val="18"/>
          <w:szCs w:val="18"/>
        </w:rPr>
        <w:t>Hanwell</w:t>
      </w:r>
      <w:r w:rsidRPr="00E77651">
        <w:rPr>
          <w:rFonts w:asciiTheme="minorHAnsi" w:hAnsiTheme="minorHAnsi"/>
          <w:sz w:val="18"/>
          <w:szCs w:val="18"/>
        </w:rPr>
        <w:t xml:space="preserve">: </w:t>
      </w:r>
      <w:proofErr w:type="spellStart"/>
      <w:r w:rsidRPr="00E77651">
        <w:rPr>
          <w:rFonts w:asciiTheme="minorHAnsi" w:hAnsiTheme="minorHAnsi"/>
          <w:i/>
          <w:iCs/>
          <w:sz w:val="18"/>
          <w:szCs w:val="18"/>
        </w:rPr>
        <w:t>SchedulerName</w:t>
      </w:r>
      <w:proofErr w:type="spellEnd"/>
      <w:r w:rsidRPr="00E77651">
        <w:rPr>
          <w:rFonts w:asciiTheme="minorHAnsi" w:hAnsiTheme="minorHAnsi"/>
          <w:sz w:val="18"/>
          <w:szCs w:val="18"/>
        </w:rPr>
        <w:t xml:space="preserve"> message improved attendance (p≈0.012)</w:t>
      </w:r>
    </w:p>
    <w:p w14:paraId="75C4146B" w14:textId="77777777" w:rsidR="00E77651" w:rsidRPr="00E77651" w:rsidRDefault="00E77651" w:rsidP="00E77651">
      <w:pPr>
        <w:contextualSpacing/>
        <w:rPr>
          <w:rFonts w:asciiTheme="minorHAnsi" w:hAnsiTheme="minorHAnsi"/>
          <w:sz w:val="18"/>
          <w:szCs w:val="18"/>
        </w:rPr>
      </w:pPr>
    </w:p>
    <w:p w14:paraId="7E504B62" w14:textId="77777777" w:rsidR="00E77651" w:rsidRPr="00E77651" w:rsidRDefault="00E77651" w:rsidP="00E77651">
      <w:pPr>
        <w:contextualSpacing/>
        <w:rPr>
          <w:rFonts w:asciiTheme="minorHAnsi" w:hAnsiTheme="minorHAnsi"/>
          <w:sz w:val="18"/>
          <w:szCs w:val="18"/>
        </w:rPr>
      </w:pPr>
      <w:r w:rsidRPr="00E77651">
        <w:rPr>
          <w:rFonts w:asciiTheme="minorHAnsi" w:hAnsiTheme="minorHAnsi"/>
          <w:sz w:val="18"/>
          <w:szCs w:val="18"/>
        </w:rPr>
        <w:t xml:space="preserve">There were also a few marginal trends in other clinics. Overall, the </w:t>
      </w:r>
      <w:proofErr w:type="spellStart"/>
      <w:r w:rsidRPr="00E77651">
        <w:rPr>
          <w:rFonts w:asciiTheme="minorHAnsi" w:hAnsiTheme="minorHAnsi"/>
          <w:i/>
          <w:iCs/>
          <w:sz w:val="18"/>
          <w:szCs w:val="18"/>
        </w:rPr>
        <w:t>SchedulerName</w:t>
      </w:r>
      <w:proofErr w:type="spellEnd"/>
      <w:r w:rsidRPr="00E77651">
        <w:rPr>
          <w:rFonts w:asciiTheme="minorHAnsi" w:hAnsiTheme="minorHAnsi"/>
          <w:sz w:val="18"/>
          <w:szCs w:val="18"/>
        </w:rPr>
        <w:t xml:space="preserve"> condition appears particularly effective across multiple clinics in May.</w:t>
      </w:r>
    </w:p>
    <w:p w14:paraId="2C5C22A9" w14:textId="77777777" w:rsidR="00E77651" w:rsidRPr="00E77651" w:rsidRDefault="00E77651" w:rsidP="00FD4751">
      <w:pPr>
        <w:contextualSpacing/>
        <w:jc w:val="center"/>
        <w:rPr>
          <w:rFonts w:asciiTheme="minorHAnsi" w:hAnsiTheme="minorHAnsi"/>
          <w:sz w:val="18"/>
          <w:szCs w:val="18"/>
        </w:rPr>
      </w:pPr>
    </w:p>
    <w:p w14:paraId="23B07323" w14:textId="60213B66" w:rsidR="00FC6E9F" w:rsidRPr="00E77651" w:rsidRDefault="00FC6E9F" w:rsidP="00FD4751">
      <w:pPr>
        <w:contextualSpacing/>
        <w:jc w:val="center"/>
        <w:rPr>
          <w:rFonts w:asciiTheme="minorHAnsi" w:hAnsiTheme="minorHAnsi"/>
          <w:b/>
          <w:bCs/>
          <w:sz w:val="18"/>
          <w:szCs w:val="18"/>
        </w:rPr>
      </w:pPr>
      <w:r w:rsidRPr="00E77651">
        <w:rPr>
          <w:rFonts w:asciiTheme="minorHAnsi" w:hAnsiTheme="minorHAnsi"/>
          <w:b/>
          <w:bCs/>
          <w:sz w:val="18"/>
          <w:szCs w:val="18"/>
        </w:rPr>
        <w:t>Conclusion</w:t>
      </w:r>
    </w:p>
    <w:p w14:paraId="5DEBF566" w14:textId="05BEC39C" w:rsidR="00E77651" w:rsidRPr="00E77651" w:rsidRDefault="00E77651" w:rsidP="00E77651">
      <w:pPr>
        <w:pStyle w:val="p1"/>
        <w:spacing w:before="0" w:beforeAutospacing="0" w:after="0" w:afterAutospacing="0"/>
        <w:contextualSpacing/>
        <w:rPr>
          <w:rFonts w:asciiTheme="minorHAnsi" w:hAnsiTheme="minorHAnsi"/>
          <w:sz w:val="18"/>
          <w:szCs w:val="18"/>
        </w:rPr>
      </w:pPr>
      <w:r w:rsidRPr="00E77651">
        <w:rPr>
          <w:rFonts w:asciiTheme="minorHAnsi" w:hAnsiTheme="minorHAnsi"/>
          <w:sz w:val="18"/>
          <w:szCs w:val="18"/>
        </w:rPr>
        <w:t xml:space="preserve">Skinsmiths UK’s strategy of offering free consultations and treatments </w:t>
      </w:r>
      <w:r w:rsidR="00DB0F83" w:rsidRPr="00E77651">
        <w:rPr>
          <w:rFonts w:asciiTheme="minorHAnsi" w:hAnsiTheme="minorHAnsi"/>
          <w:sz w:val="18"/>
          <w:szCs w:val="18"/>
        </w:rPr>
        <w:t>to</w:t>
      </w:r>
      <w:r w:rsidRPr="00E77651">
        <w:rPr>
          <w:rFonts w:asciiTheme="minorHAnsi" w:hAnsiTheme="minorHAnsi"/>
          <w:sz w:val="18"/>
          <w:szCs w:val="18"/>
        </w:rPr>
        <w:t xml:space="preserve"> attract new clients came with a major operational challenge: high no-show rates. These missed appointments not only wasted valuable staff time but also blocked slots that could have been used by paying </w:t>
      </w:r>
      <w:r w:rsidR="00DB0F83" w:rsidRPr="00E77651">
        <w:rPr>
          <w:rFonts w:asciiTheme="minorHAnsi" w:hAnsiTheme="minorHAnsi"/>
          <w:sz w:val="18"/>
          <w:szCs w:val="18"/>
        </w:rPr>
        <w:t>customers</w:t>
      </w:r>
      <w:r w:rsidR="00DB0F83">
        <w:rPr>
          <w:rFonts w:asciiTheme="minorHAnsi" w:hAnsiTheme="minorHAnsi"/>
          <w:sz w:val="18"/>
          <w:szCs w:val="18"/>
        </w:rPr>
        <w:t xml:space="preserve">, </w:t>
      </w:r>
      <w:r w:rsidRPr="00E77651">
        <w:rPr>
          <w:rFonts w:asciiTheme="minorHAnsi" w:hAnsiTheme="minorHAnsi"/>
          <w:sz w:val="18"/>
          <w:szCs w:val="18"/>
        </w:rPr>
        <w:t>leading to inefficiencies, lost revenue, and fewer opportunities to convert new clients into long-term members.</w:t>
      </w:r>
    </w:p>
    <w:p w14:paraId="4032447D" w14:textId="77777777" w:rsidR="00E77651" w:rsidRPr="00E77651" w:rsidRDefault="00E77651" w:rsidP="00E77651">
      <w:pPr>
        <w:pStyle w:val="p2"/>
        <w:spacing w:before="0" w:beforeAutospacing="0" w:after="0" w:afterAutospacing="0"/>
        <w:contextualSpacing/>
        <w:rPr>
          <w:rFonts w:asciiTheme="minorHAnsi" w:hAnsiTheme="minorHAnsi"/>
          <w:sz w:val="18"/>
          <w:szCs w:val="18"/>
        </w:rPr>
      </w:pPr>
    </w:p>
    <w:p w14:paraId="637A419B" w14:textId="77777777" w:rsidR="00E77651" w:rsidRPr="00E77651" w:rsidRDefault="00E77651" w:rsidP="00E77651">
      <w:pPr>
        <w:pStyle w:val="p1"/>
        <w:spacing w:before="0" w:beforeAutospacing="0" w:after="0" w:afterAutospacing="0"/>
        <w:contextualSpacing/>
        <w:rPr>
          <w:rFonts w:asciiTheme="minorHAnsi" w:hAnsiTheme="minorHAnsi"/>
          <w:sz w:val="18"/>
          <w:szCs w:val="18"/>
        </w:rPr>
      </w:pPr>
      <w:r w:rsidRPr="00E77651">
        <w:rPr>
          <w:rFonts w:asciiTheme="minorHAnsi" w:hAnsiTheme="minorHAnsi"/>
          <w:sz w:val="18"/>
          <w:szCs w:val="18"/>
        </w:rPr>
        <w:t>This project set out to answer a simple question: can we reduce no-show rates by slightly rewording the text messages clients receive before their appointments?</w:t>
      </w:r>
    </w:p>
    <w:p w14:paraId="6433BB1C" w14:textId="77777777" w:rsidR="00E77651" w:rsidRPr="00E77651" w:rsidRDefault="00E77651" w:rsidP="00E77651">
      <w:pPr>
        <w:pStyle w:val="p2"/>
        <w:spacing w:before="0" w:beforeAutospacing="0" w:after="0" w:afterAutospacing="0"/>
        <w:contextualSpacing/>
        <w:rPr>
          <w:rFonts w:asciiTheme="minorHAnsi" w:hAnsiTheme="minorHAnsi"/>
          <w:sz w:val="18"/>
          <w:szCs w:val="18"/>
        </w:rPr>
      </w:pPr>
    </w:p>
    <w:p w14:paraId="2F9E1F47" w14:textId="3A1F5176" w:rsidR="00E77651" w:rsidRPr="00E77651" w:rsidRDefault="00E77651" w:rsidP="00E77651">
      <w:pPr>
        <w:pStyle w:val="p1"/>
        <w:spacing w:before="0" w:beforeAutospacing="0" w:after="0" w:afterAutospacing="0"/>
        <w:contextualSpacing/>
        <w:rPr>
          <w:rFonts w:asciiTheme="minorHAnsi" w:hAnsiTheme="minorHAnsi"/>
          <w:sz w:val="18"/>
          <w:szCs w:val="18"/>
        </w:rPr>
      </w:pPr>
      <w:r w:rsidRPr="00E77651">
        <w:rPr>
          <w:rFonts w:asciiTheme="minorHAnsi" w:hAnsiTheme="minorHAnsi"/>
          <w:sz w:val="18"/>
          <w:szCs w:val="18"/>
        </w:rPr>
        <w:t>By incorporating subtle behavioural nudges into the messages</w:t>
      </w:r>
      <w:r w:rsidR="00DB0F83">
        <w:rPr>
          <w:rFonts w:asciiTheme="minorHAnsi" w:hAnsiTheme="minorHAnsi"/>
          <w:sz w:val="18"/>
          <w:szCs w:val="18"/>
        </w:rPr>
        <w:t xml:space="preserve"> </w:t>
      </w:r>
      <w:r w:rsidRPr="00E77651">
        <w:rPr>
          <w:rFonts w:asciiTheme="minorHAnsi" w:hAnsiTheme="minorHAnsi"/>
          <w:sz w:val="18"/>
          <w:szCs w:val="18"/>
        </w:rPr>
        <w:t>such as adding the client’s name (personalisation), referencing the staff member who booked the appointment (social accountability), or implying that the team had prepared in advance (reciprocity)</w:t>
      </w:r>
      <w:r w:rsidR="00DB0F83">
        <w:rPr>
          <w:rFonts w:asciiTheme="minorHAnsi" w:hAnsiTheme="minorHAnsi"/>
          <w:sz w:val="18"/>
          <w:szCs w:val="18"/>
        </w:rPr>
        <w:t xml:space="preserve"> </w:t>
      </w:r>
      <w:r w:rsidRPr="00E77651">
        <w:rPr>
          <w:rFonts w:asciiTheme="minorHAnsi" w:hAnsiTheme="minorHAnsi"/>
          <w:sz w:val="18"/>
          <w:szCs w:val="18"/>
        </w:rPr>
        <w:t>we tested whether such small changes could influence attendance behaviour.</w:t>
      </w:r>
    </w:p>
    <w:p w14:paraId="6022B52B" w14:textId="77777777" w:rsidR="00E77651" w:rsidRPr="00E77651" w:rsidRDefault="00E77651" w:rsidP="00E77651">
      <w:pPr>
        <w:pStyle w:val="p2"/>
        <w:spacing w:before="0" w:beforeAutospacing="0" w:after="0" w:afterAutospacing="0"/>
        <w:contextualSpacing/>
        <w:rPr>
          <w:rFonts w:asciiTheme="minorHAnsi" w:hAnsiTheme="minorHAnsi"/>
          <w:sz w:val="18"/>
          <w:szCs w:val="18"/>
        </w:rPr>
      </w:pPr>
    </w:p>
    <w:p w14:paraId="2E8D0C50" w14:textId="77777777" w:rsidR="00E77651" w:rsidRPr="00E77651" w:rsidRDefault="00E77651" w:rsidP="00E77651">
      <w:pPr>
        <w:pStyle w:val="p1"/>
        <w:spacing w:before="0" w:beforeAutospacing="0" w:after="0" w:afterAutospacing="0"/>
        <w:contextualSpacing/>
        <w:rPr>
          <w:rFonts w:asciiTheme="minorHAnsi" w:hAnsiTheme="minorHAnsi"/>
          <w:sz w:val="18"/>
          <w:szCs w:val="18"/>
        </w:rPr>
      </w:pPr>
      <w:r w:rsidRPr="00E77651">
        <w:rPr>
          <w:rFonts w:asciiTheme="minorHAnsi" w:hAnsiTheme="minorHAnsi"/>
          <w:sz w:val="18"/>
          <w:szCs w:val="18"/>
        </w:rPr>
        <w:t>The results showed that even minimal changes in wording can have a meaningful effect.</w:t>
      </w:r>
    </w:p>
    <w:p w14:paraId="741E1CCB" w14:textId="77777777" w:rsidR="00E77651" w:rsidRPr="00E77651" w:rsidRDefault="00E77651" w:rsidP="00E77651">
      <w:pPr>
        <w:pStyle w:val="p2"/>
        <w:spacing w:before="0" w:beforeAutospacing="0" w:after="0" w:afterAutospacing="0"/>
        <w:contextualSpacing/>
        <w:rPr>
          <w:rFonts w:asciiTheme="minorHAnsi" w:hAnsiTheme="minorHAnsi"/>
          <w:sz w:val="18"/>
          <w:szCs w:val="18"/>
        </w:rPr>
      </w:pPr>
    </w:p>
    <w:p w14:paraId="42439FBE" w14:textId="2D6E56F4" w:rsidR="00E77651" w:rsidRPr="00E77651" w:rsidRDefault="00E77651" w:rsidP="00E77651">
      <w:pPr>
        <w:pStyle w:val="p1"/>
        <w:spacing w:before="0" w:beforeAutospacing="0" w:after="0" w:afterAutospacing="0"/>
        <w:contextualSpacing/>
        <w:rPr>
          <w:rFonts w:asciiTheme="minorHAnsi" w:hAnsiTheme="minorHAnsi"/>
          <w:sz w:val="18"/>
          <w:szCs w:val="18"/>
        </w:rPr>
      </w:pPr>
      <w:r w:rsidRPr="00E77651">
        <w:rPr>
          <w:rFonts w:asciiTheme="minorHAnsi" w:hAnsiTheme="minorHAnsi"/>
          <w:sz w:val="18"/>
          <w:szCs w:val="18"/>
        </w:rPr>
        <w:t>Across all clinics, there were statistically significant differences in no</w:t>
      </w:r>
      <w:r w:rsidR="00DB0F83">
        <w:rPr>
          <w:rFonts w:asciiTheme="minorHAnsi" w:hAnsiTheme="minorHAnsi"/>
          <w:sz w:val="18"/>
          <w:szCs w:val="18"/>
        </w:rPr>
        <w:t xml:space="preserve"> </w:t>
      </w:r>
      <w:r w:rsidRPr="00E77651">
        <w:rPr>
          <w:rFonts w:asciiTheme="minorHAnsi" w:hAnsiTheme="minorHAnsi"/>
          <w:sz w:val="18"/>
          <w:szCs w:val="18"/>
        </w:rPr>
        <w:t>show rates by message type, especially in May, when the intervention had been running longer. Seven clinics showed statistically significant improvements depending on the message condition, including some of the highest-volume or highest-risk sites.</w:t>
      </w:r>
    </w:p>
    <w:p w14:paraId="37540993" w14:textId="77777777" w:rsidR="00E77651" w:rsidRPr="00E77651" w:rsidRDefault="00E77651" w:rsidP="00E77651">
      <w:pPr>
        <w:pStyle w:val="p2"/>
        <w:spacing w:before="0" w:beforeAutospacing="0" w:after="0" w:afterAutospacing="0"/>
        <w:contextualSpacing/>
        <w:rPr>
          <w:rFonts w:asciiTheme="minorHAnsi" w:hAnsiTheme="minorHAnsi"/>
          <w:sz w:val="18"/>
          <w:szCs w:val="18"/>
        </w:rPr>
      </w:pPr>
    </w:p>
    <w:p w14:paraId="2E00262B" w14:textId="120F21DD" w:rsidR="00E77651" w:rsidRPr="00E77651" w:rsidRDefault="00E77651" w:rsidP="00E77651">
      <w:pPr>
        <w:pStyle w:val="p1"/>
        <w:spacing w:before="0" w:beforeAutospacing="0" w:after="0" w:afterAutospacing="0"/>
        <w:contextualSpacing/>
        <w:rPr>
          <w:rFonts w:asciiTheme="minorHAnsi" w:hAnsiTheme="minorHAnsi"/>
          <w:sz w:val="18"/>
          <w:szCs w:val="18"/>
        </w:rPr>
      </w:pPr>
      <w:r w:rsidRPr="00E77651">
        <w:rPr>
          <w:rFonts w:asciiTheme="minorHAnsi" w:hAnsiTheme="minorHAnsi"/>
          <w:sz w:val="18"/>
          <w:szCs w:val="18"/>
        </w:rPr>
        <w:t>For example, Hanwell had an extremely high no</w:t>
      </w:r>
      <w:r w:rsidR="00DB0F83">
        <w:rPr>
          <w:rFonts w:asciiTheme="minorHAnsi" w:hAnsiTheme="minorHAnsi"/>
          <w:sz w:val="18"/>
          <w:szCs w:val="18"/>
        </w:rPr>
        <w:t xml:space="preserve"> </w:t>
      </w:r>
      <w:r w:rsidRPr="00E77651">
        <w:rPr>
          <w:rFonts w:asciiTheme="minorHAnsi" w:hAnsiTheme="minorHAnsi"/>
          <w:sz w:val="18"/>
          <w:szCs w:val="18"/>
        </w:rPr>
        <w:t xml:space="preserve">show rate of 39% in January. During the trial, this dropped to an average of 15.9%. Clapham South went from a 19% baseline to 12.2%. Belgravia fell from 16% to 12.1%. In several </w:t>
      </w:r>
      <w:r w:rsidRPr="00E77651">
        <w:rPr>
          <w:rFonts w:asciiTheme="minorHAnsi" w:hAnsiTheme="minorHAnsi"/>
          <w:sz w:val="18"/>
          <w:szCs w:val="18"/>
        </w:rPr>
        <w:lastRenderedPageBreak/>
        <w:t>cases, individual message variants led to no</w:t>
      </w:r>
      <w:r w:rsidR="00DB0F83">
        <w:rPr>
          <w:rFonts w:asciiTheme="minorHAnsi" w:hAnsiTheme="minorHAnsi"/>
          <w:sz w:val="18"/>
          <w:szCs w:val="18"/>
        </w:rPr>
        <w:t xml:space="preserve"> </w:t>
      </w:r>
      <w:r w:rsidRPr="00E77651">
        <w:rPr>
          <w:rFonts w:asciiTheme="minorHAnsi" w:hAnsiTheme="minorHAnsi"/>
          <w:sz w:val="18"/>
          <w:szCs w:val="18"/>
        </w:rPr>
        <w:t>show rates dropping below 10%</w:t>
      </w:r>
      <w:r w:rsidR="00DB0F83">
        <w:rPr>
          <w:rFonts w:asciiTheme="minorHAnsi" w:hAnsiTheme="minorHAnsi"/>
          <w:sz w:val="18"/>
          <w:szCs w:val="18"/>
        </w:rPr>
        <w:t xml:space="preserve"> which is </w:t>
      </w:r>
      <w:r w:rsidRPr="00E77651">
        <w:rPr>
          <w:rFonts w:asciiTheme="minorHAnsi" w:hAnsiTheme="minorHAnsi"/>
          <w:sz w:val="18"/>
          <w:szCs w:val="18"/>
        </w:rPr>
        <w:t>a remarkable shift given the intervention cost nothing to implement beyond rewording existing reminder texts.</w:t>
      </w:r>
    </w:p>
    <w:p w14:paraId="56C50A53" w14:textId="77777777" w:rsidR="00E77651" w:rsidRPr="00E77651" w:rsidRDefault="00E77651" w:rsidP="00E77651">
      <w:pPr>
        <w:pStyle w:val="p2"/>
        <w:spacing w:before="0" w:beforeAutospacing="0" w:after="0" w:afterAutospacing="0"/>
        <w:contextualSpacing/>
        <w:rPr>
          <w:rFonts w:asciiTheme="minorHAnsi" w:hAnsiTheme="minorHAnsi"/>
          <w:sz w:val="18"/>
          <w:szCs w:val="18"/>
        </w:rPr>
      </w:pPr>
    </w:p>
    <w:p w14:paraId="2BEB258D" w14:textId="77777777" w:rsidR="00DB0F83" w:rsidRDefault="00E77651" w:rsidP="00E77651">
      <w:pPr>
        <w:pStyle w:val="p1"/>
        <w:spacing w:before="0" w:beforeAutospacing="0" w:after="0" w:afterAutospacing="0"/>
        <w:contextualSpacing/>
        <w:rPr>
          <w:rFonts w:asciiTheme="minorHAnsi" w:hAnsiTheme="minorHAnsi"/>
          <w:sz w:val="18"/>
          <w:szCs w:val="18"/>
        </w:rPr>
      </w:pPr>
      <w:r w:rsidRPr="00E77651">
        <w:rPr>
          <w:rFonts w:asciiTheme="minorHAnsi" w:hAnsiTheme="minorHAnsi"/>
          <w:sz w:val="18"/>
          <w:szCs w:val="18"/>
        </w:rPr>
        <w:t>While no</w:t>
      </w:r>
      <w:r w:rsidR="00DB0F83">
        <w:rPr>
          <w:rFonts w:asciiTheme="minorHAnsi" w:hAnsiTheme="minorHAnsi"/>
          <w:sz w:val="18"/>
          <w:szCs w:val="18"/>
        </w:rPr>
        <w:t xml:space="preserve"> </w:t>
      </w:r>
      <w:r w:rsidRPr="00E77651">
        <w:rPr>
          <w:rFonts w:asciiTheme="minorHAnsi" w:hAnsiTheme="minorHAnsi"/>
          <w:sz w:val="18"/>
          <w:szCs w:val="18"/>
        </w:rPr>
        <w:t xml:space="preserve">show rates may still appear high in some cases, it’s important to emphasise the scale of the improvement and the simplicity of the intervention. </w:t>
      </w:r>
    </w:p>
    <w:p w14:paraId="2F393A6A" w14:textId="77777777" w:rsidR="00DB0F83" w:rsidRDefault="00DB0F83" w:rsidP="00E77651">
      <w:pPr>
        <w:pStyle w:val="p1"/>
        <w:spacing w:before="0" w:beforeAutospacing="0" w:after="0" w:afterAutospacing="0"/>
        <w:contextualSpacing/>
        <w:rPr>
          <w:rFonts w:asciiTheme="minorHAnsi" w:hAnsiTheme="minorHAnsi"/>
          <w:sz w:val="18"/>
          <w:szCs w:val="18"/>
        </w:rPr>
      </w:pPr>
    </w:p>
    <w:p w14:paraId="43DC1A9C" w14:textId="6CC33742" w:rsidR="00E77651" w:rsidRPr="00E77651" w:rsidRDefault="00E77651" w:rsidP="00E77651">
      <w:pPr>
        <w:pStyle w:val="p1"/>
        <w:spacing w:before="0" w:beforeAutospacing="0" w:after="0" w:afterAutospacing="0"/>
        <w:contextualSpacing/>
        <w:rPr>
          <w:rFonts w:asciiTheme="minorHAnsi" w:hAnsiTheme="minorHAnsi"/>
          <w:sz w:val="18"/>
          <w:szCs w:val="18"/>
        </w:rPr>
      </w:pPr>
      <w:r w:rsidRPr="00E77651">
        <w:rPr>
          <w:rFonts w:asciiTheme="minorHAnsi" w:hAnsiTheme="minorHAnsi"/>
          <w:sz w:val="18"/>
          <w:szCs w:val="18"/>
        </w:rPr>
        <w:t xml:space="preserve">We didn’t add penalties, introduce deposits, or </w:t>
      </w:r>
      <w:r w:rsidR="00DB0F83">
        <w:rPr>
          <w:rFonts w:asciiTheme="minorHAnsi" w:hAnsiTheme="minorHAnsi"/>
          <w:sz w:val="18"/>
          <w:szCs w:val="18"/>
        </w:rPr>
        <w:t>develop</w:t>
      </w:r>
      <w:r w:rsidRPr="00E77651">
        <w:rPr>
          <w:rFonts w:asciiTheme="minorHAnsi" w:hAnsiTheme="minorHAnsi"/>
          <w:sz w:val="18"/>
          <w:szCs w:val="18"/>
        </w:rPr>
        <w:t xml:space="preserve"> new </w:t>
      </w:r>
      <w:r w:rsidR="00DB0F83" w:rsidRPr="00E77651">
        <w:rPr>
          <w:rFonts w:asciiTheme="minorHAnsi" w:hAnsiTheme="minorHAnsi"/>
          <w:sz w:val="18"/>
          <w:szCs w:val="18"/>
        </w:rPr>
        <w:t>tech</w:t>
      </w:r>
      <w:r w:rsidR="00DB0F83">
        <w:rPr>
          <w:rFonts w:asciiTheme="minorHAnsi" w:hAnsiTheme="minorHAnsi"/>
          <w:sz w:val="18"/>
          <w:szCs w:val="18"/>
        </w:rPr>
        <w:t>nologies</w:t>
      </w:r>
      <w:r w:rsidRPr="00E77651">
        <w:rPr>
          <w:rFonts w:asciiTheme="minorHAnsi" w:hAnsiTheme="minorHAnsi"/>
          <w:sz w:val="18"/>
          <w:szCs w:val="18"/>
        </w:rPr>
        <w:t>. We simply changed a few words</w:t>
      </w:r>
      <w:r w:rsidR="00DB0F83">
        <w:rPr>
          <w:rFonts w:asciiTheme="minorHAnsi" w:hAnsiTheme="minorHAnsi"/>
          <w:sz w:val="18"/>
          <w:szCs w:val="18"/>
        </w:rPr>
        <w:t xml:space="preserve"> </w:t>
      </w:r>
      <w:r w:rsidRPr="00E77651">
        <w:rPr>
          <w:rFonts w:asciiTheme="minorHAnsi" w:hAnsiTheme="minorHAnsi"/>
          <w:sz w:val="18"/>
          <w:szCs w:val="18"/>
        </w:rPr>
        <w:t>and saw measurable, statistically significant impact.</w:t>
      </w:r>
    </w:p>
    <w:p w14:paraId="4E506AC0" w14:textId="77777777" w:rsidR="00DB0F83" w:rsidRDefault="00DB0F83" w:rsidP="00E77651">
      <w:pPr>
        <w:pStyle w:val="p1"/>
        <w:spacing w:before="0" w:beforeAutospacing="0" w:after="0" w:afterAutospacing="0"/>
        <w:contextualSpacing/>
        <w:rPr>
          <w:rFonts w:asciiTheme="minorHAnsi" w:hAnsiTheme="minorHAnsi"/>
          <w:sz w:val="18"/>
          <w:szCs w:val="18"/>
        </w:rPr>
      </w:pPr>
    </w:p>
    <w:p w14:paraId="5262F63E" w14:textId="65BBFDDA" w:rsidR="00E77651" w:rsidRPr="00E77651" w:rsidRDefault="00E77651" w:rsidP="00E77651">
      <w:pPr>
        <w:pStyle w:val="p1"/>
        <w:spacing w:before="0" w:beforeAutospacing="0" w:after="0" w:afterAutospacing="0"/>
        <w:contextualSpacing/>
        <w:rPr>
          <w:rFonts w:asciiTheme="minorHAnsi" w:hAnsiTheme="minorHAnsi"/>
          <w:sz w:val="18"/>
          <w:szCs w:val="18"/>
        </w:rPr>
      </w:pPr>
      <w:r w:rsidRPr="00E77651">
        <w:rPr>
          <w:rFonts w:asciiTheme="minorHAnsi" w:hAnsiTheme="minorHAnsi"/>
          <w:sz w:val="18"/>
          <w:szCs w:val="18"/>
        </w:rPr>
        <w:t>This demonstrates the potential for behavioural science to improve outcomes in low</w:t>
      </w:r>
      <w:r w:rsidR="00DB0F83">
        <w:rPr>
          <w:rFonts w:asciiTheme="minorHAnsi" w:hAnsiTheme="minorHAnsi"/>
          <w:sz w:val="18"/>
          <w:szCs w:val="18"/>
        </w:rPr>
        <w:t xml:space="preserve"> c</w:t>
      </w:r>
      <w:r w:rsidRPr="00E77651">
        <w:rPr>
          <w:rFonts w:asciiTheme="minorHAnsi" w:hAnsiTheme="minorHAnsi"/>
          <w:sz w:val="18"/>
          <w:szCs w:val="18"/>
        </w:rPr>
        <w:t>ost, client</w:t>
      </w:r>
      <w:r w:rsidR="00DB0F83">
        <w:rPr>
          <w:rFonts w:asciiTheme="minorHAnsi" w:hAnsiTheme="minorHAnsi"/>
          <w:sz w:val="18"/>
          <w:szCs w:val="18"/>
        </w:rPr>
        <w:t xml:space="preserve"> f</w:t>
      </w:r>
      <w:r w:rsidRPr="00E77651">
        <w:rPr>
          <w:rFonts w:asciiTheme="minorHAnsi" w:hAnsiTheme="minorHAnsi"/>
          <w:sz w:val="18"/>
          <w:szCs w:val="18"/>
        </w:rPr>
        <w:t>riendly ways. With no added friction to the customer journey, and minimal cost to the business, this type of intervention offers high return on investment and strong potential for wider rollout and refinement.</w:t>
      </w:r>
    </w:p>
    <w:p w14:paraId="3B8D8433" w14:textId="77777777" w:rsidR="003E3ADF" w:rsidRPr="00E77651" w:rsidRDefault="003E3ADF" w:rsidP="00E77651">
      <w:pPr>
        <w:contextualSpacing/>
        <w:jc w:val="both"/>
        <w:rPr>
          <w:rFonts w:asciiTheme="minorHAnsi" w:hAnsiTheme="minorHAnsi"/>
          <w:b/>
          <w:bCs/>
          <w:sz w:val="18"/>
          <w:szCs w:val="18"/>
        </w:rPr>
      </w:pPr>
    </w:p>
    <w:p w14:paraId="14516EEC" w14:textId="75619491" w:rsidR="00FC6E9F" w:rsidRPr="00E77651" w:rsidRDefault="00FC6E9F" w:rsidP="00FD4751">
      <w:pPr>
        <w:contextualSpacing/>
        <w:jc w:val="center"/>
        <w:rPr>
          <w:rFonts w:asciiTheme="minorHAnsi" w:hAnsiTheme="minorHAnsi"/>
          <w:b/>
          <w:bCs/>
          <w:sz w:val="18"/>
          <w:szCs w:val="18"/>
        </w:rPr>
      </w:pPr>
      <w:r w:rsidRPr="00E77651">
        <w:rPr>
          <w:rFonts w:asciiTheme="minorHAnsi" w:hAnsiTheme="minorHAnsi"/>
          <w:b/>
          <w:bCs/>
          <w:sz w:val="18"/>
          <w:szCs w:val="18"/>
        </w:rPr>
        <w:t>References</w:t>
      </w:r>
    </w:p>
    <w:p w14:paraId="7136BB50" w14:textId="22AE2CD0" w:rsidR="00B3245F" w:rsidRPr="00E77651" w:rsidRDefault="00B3245F" w:rsidP="00E77651">
      <w:pPr>
        <w:pStyle w:val="p1"/>
        <w:spacing w:before="0" w:beforeAutospacing="0" w:after="0" w:afterAutospacing="0"/>
        <w:contextualSpacing/>
        <w:jc w:val="both"/>
        <w:rPr>
          <w:rFonts w:asciiTheme="minorHAnsi" w:hAnsiTheme="minorHAnsi"/>
          <w:sz w:val="18"/>
          <w:szCs w:val="18"/>
        </w:rPr>
      </w:pPr>
      <w:r w:rsidRPr="00FD4751">
        <w:rPr>
          <w:rFonts w:asciiTheme="minorHAnsi" w:hAnsiTheme="minorHAnsi"/>
          <w:b/>
          <w:bCs/>
          <w:sz w:val="18"/>
          <w:szCs w:val="18"/>
        </w:rPr>
        <w:t xml:space="preserve">Bean, M. G., Holman, A. C., &amp; </w:t>
      </w:r>
      <w:proofErr w:type="spellStart"/>
      <w:r w:rsidRPr="00FD4751">
        <w:rPr>
          <w:rFonts w:asciiTheme="minorHAnsi" w:hAnsiTheme="minorHAnsi"/>
          <w:b/>
          <w:bCs/>
          <w:sz w:val="18"/>
          <w:szCs w:val="18"/>
        </w:rPr>
        <w:t>Charness</w:t>
      </w:r>
      <w:proofErr w:type="spellEnd"/>
      <w:r w:rsidRPr="00FD4751">
        <w:rPr>
          <w:rFonts w:asciiTheme="minorHAnsi" w:hAnsiTheme="minorHAnsi"/>
          <w:b/>
          <w:bCs/>
          <w:sz w:val="18"/>
          <w:szCs w:val="18"/>
        </w:rPr>
        <w:t>, N.</w:t>
      </w:r>
      <w:r w:rsidRPr="00E77651">
        <w:rPr>
          <w:rFonts w:asciiTheme="minorHAnsi" w:hAnsiTheme="minorHAnsi"/>
          <w:sz w:val="18"/>
          <w:szCs w:val="18"/>
        </w:rPr>
        <w:t xml:space="preserve"> (2014). </w:t>
      </w:r>
      <w:r w:rsidRPr="00E77651">
        <w:rPr>
          <w:rFonts w:asciiTheme="minorHAnsi" w:hAnsiTheme="minorHAnsi"/>
          <w:i/>
          <w:iCs/>
          <w:sz w:val="18"/>
          <w:szCs w:val="18"/>
        </w:rPr>
        <w:t>No-Shows: Who Fails to Show Up and Why it Matters</w:t>
      </w:r>
      <w:r w:rsidRPr="00E77651">
        <w:rPr>
          <w:rFonts w:asciiTheme="minorHAnsi" w:hAnsiTheme="minorHAnsi"/>
          <w:sz w:val="18"/>
          <w:szCs w:val="18"/>
        </w:rPr>
        <w:t xml:space="preserve">. Journal of Service Management, </w:t>
      </w:r>
      <w:r w:rsidRPr="00E77651">
        <w:rPr>
          <w:rStyle w:val="s1"/>
          <w:rFonts w:asciiTheme="minorHAnsi" w:eastAsiaTheme="majorEastAsia" w:hAnsiTheme="minorHAnsi"/>
          <w:b/>
          <w:bCs/>
          <w:sz w:val="18"/>
          <w:szCs w:val="18"/>
        </w:rPr>
        <w:t>25</w:t>
      </w:r>
      <w:r w:rsidRPr="00E77651">
        <w:rPr>
          <w:rFonts w:asciiTheme="minorHAnsi" w:hAnsiTheme="minorHAnsi"/>
          <w:sz w:val="18"/>
          <w:szCs w:val="18"/>
        </w:rPr>
        <w:t>(2), 178–193. https://doi.org/10.1108/JOSM-11-2012-0249</w:t>
      </w:r>
    </w:p>
    <w:p w14:paraId="2244FE96" w14:textId="77777777" w:rsidR="00FD4751" w:rsidRDefault="00FD4751" w:rsidP="00E77651">
      <w:pPr>
        <w:pStyle w:val="p1"/>
        <w:spacing w:before="0" w:beforeAutospacing="0" w:after="0" w:afterAutospacing="0"/>
        <w:contextualSpacing/>
        <w:jc w:val="both"/>
        <w:rPr>
          <w:rFonts w:asciiTheme="minorHAnsi" w:hAnsiTheme="minorHAnsi"/>
          <w:sz w:val="18"/>
          <w:szCs w:val="18"/>
        </w:rPr>
      </w:pPr>
    </w:p>
    <w:p w14:paraId="1960B9DA" w14:textId="62BA5B14" w:rsidR="00B3245F" w:rsidRPr="00E77651" w:rsidRDefault="00B3245F" w:rsidP="00E77651">
      <w:pPr>
        <w:pStyle w:val="p1"/>
        <w:spacing w:before="0" w:beforeAutospacing="0" w:after="0" w:afterAutospacing="0"/>
        <w:contextualSpacing/>
        <w:jc w:val="both"/>
        <w:rPr>
          <w:rFonts w:asciiTheme="minorHAnsi" w:hAnsiTheme="minorHAnsi"/>
          <w:sz w:val="18"/>
          <w:szCs w:val="18"/>
        </w:rPr>
      </w:pPr>
      <w:r w:rsidRPr="00FD4751">
        <w:rPr>
          <w:rFonts w:asciiTheme="minorHAnsi" w:hAnsiTheme="minorHAnsi"/>
          <w:b/>
          <w:bCs/>
          <w:sz w:val="18"/>
          <w:szCs w:val="18"/>
        </w:rPr>
        <w:t>Dantas, L. F., Fleck, J. L., Oliveira, F. L. C., &amp; Hamacher, S.</w:t>
      </w:r>
      <w:r w:rsidRPr="00E77651">
        <w:rPr>
          <w:rFonts w:asciiTheme="minorHAnsi" w:hAnsiTheme="minorHAnsi"/>
          <w:sz w:val="18"/>
          <w:szCs w:val="18"/>
        </w:rPr>
        <w:t xml:space="preserve"> (2018). </w:t>
      </w:r>
      <w:r w:rsidRPr="00E77651">
        <w:rPr>
          <w:rFonts w:asciiTheme="minorHAnsi" w:hAnsiTheme="minorHAnsi"/>
          <w:i/>
          <w:iCs/>
          <w:sz w:val="18"/>
          <w:szCs w:val="18"/>
        </w:rPr>
        <w:t>No-shows in appointment scheduling – a systematic literature review</w:t>
      </w:r>
      <w:r w:rsidRPr="00E77651">
        <w:rPr>
          <w:rFonts w:asciiTheme="minorHAnsi" w:hAnsiTheme="minorHAnsi"/>
          <w:sz w:val="18"/>
          <w:szCs w:val="18"/>
        </w:rPr>
        <w:t xml:space="preserve">. Health Policy, </w:t>
      </w:r>
      <w:r w:rsidRPr="00E77651">
        <w:rPr>
          <w:rStyle w:val="s1"/>
          <w:rFonts w:asciiTheme="minorHAnsi" w:eastAsiaTheme="majorEastAsia" w:hAnsiTheme="minorHAnsi"/>
          <w:b/>
          <w:bCs/>
          <w:sz w:val="18"/>
          <w:szCs w:val="18"/>
        </w:rPr>
        <w:t>122</w:t>
      </w:r>
      <w:r w:rsidRPr="00E77651">
        <w:rPr>
          <w:rFonts w:asciiTheme="minorHAnsi" w:hAnsiTheme="minorHAnsi"/>
          <w:sz w:val="18"/>
          <w:szCs w:val="18"/>
        </w:rPr>
        <w:t>(4), 412–421. https://doi.org/10.1016/j.healthpol.2018.02.002</w:t>
      </w:r>
    </w:p>
    <w:p w14:paraId="224BDD1A" w14:textId="77777777" w:rsidR="00FD4751" w:rsidRDefault="00FD4751" w:rsidP="00E77651">
      <w:pPr>
        <w:pStyle w:val="p1"/>
        <w:spacing w:before="0" w:beforeAutospacing="0" w:after="0" w:afterAutospacing="0"/>
        <w:contextualSpacing/>
        <w:jc w:val="both"/>
        <w:rPr>
          <w:rStyle w:val="s1"/>
          <w:rFonts w:asciiTheme="minorHAnsi" w:eastAsiaTheme="majorEastAsia" w:hAnsiTheme="minorHAnsi"/>
          <w:b/>
          <w:bCs/>
          <w:sz w:val="18"/>
          <w:szCs w:val="18"/>
        </w:rPr>
      </w:pPr>
    </w:p>
    <w:p w14:paraId="17329A01" w14:textId="02168CDF" w:rsidR="00B3245F" w:rsidRPr="00E77651" w:rsidRDefault="00B3245F" w:rsidP="00E77651">
      <w:pPr>
        <w:pStyle w:val="p1"/>
        <w:spacing w:before="0" w:beforeAutospacing="0" w:after="0" w:afterAutospacing="0"/>
        <w:contextualSpacing/>
        <w:jc w:val="both"/>
        <w:rPr>
          <w:rFonts w:asciiTheme="minorHAnsi" w:hAnsiTheme="minorHAnsi"/>
          <w:sz w:val="18"/>
          <w:szCs w:val="18"/>
        </w:rPr>
      </w:pPr>
      <w:r w:rsidRPr="00E77651">
        <w:rPr>
          <w:rStyle w:val="s1"/>
          <w:rFonts w:asciiTheme="minorHAnsi" w:eastAsiaTheme="majorEastAsia" w:hAnsiTheme="minorHAnsi"/>
          <w:b/>
          <w:bCs/>
          <w:sz w:val="18"/>
          <w:szCs w:val="18"/>
        </w:rPr>
        <w:t>Behavioural Insights Team (2012).</w:t>
      </w:r>
      <w:r w:rsidRPr="00E77651">
        <w:rPr>
          <w:rFonts w:asciiTheme="minorHAnsi" w:hAnsiTheme="minorHAnsi"/>
          <w:sz w:val="18"/>
          <w:szCs w:val="18"/>
        </w:rPr>
        <w:t xml:space="preserve"> </w:t>
      </w:r>
      <w:r w:rsidRPr="00E77651">
        <w:rPr>
          <w:rFonts w:asciiTheme="minorHAnsi" w:hAnsiTheme="minorHAnsi"/>
          <w:i/>
          <w:iCs/>
          <w:sz w:val="18"/>
          <w:szCs w:val="18"/>
        </w:rPr>
        <w:t>Applying behavioural insights to reduce fraud, error and debt.</w:t>
      </w:r>
      <w:r w:rsidRPr="00E77651">
        <w:rPr>
          <w:rFonts w:asciiTheme="minorHAnsi" w:hAnsiTheme="minorHAnsi"/>
          <w:sz w:val="18"/>
          <w:szCs w:val="18"/>
        </w:rPr>
        <w:t xml:space="preserve"> London: Cabinet Office.</w:t>
      </w:r>
      <w:r w:rsidR="00FD4751">
        <w:rPr>
          <w:rFonts w:asciiTheme="minorHAnsi" w:hAnsiTheme="minorHAnsi"/>
          <w:sz w:val="18"/>
          <w:szCs w:val="18"/>
        </w:rPr>
        <w:t xml:space="preserve"> </w:t>
      </w:r>
      <w:r w:rsidRPr="00E77651">
        <w:rPr>
          <w:rFonts w:asciiTheme="minorHAnsi" w:hAnsiTheme="minorHAnsi"/>
          <w:sz w:val="18"/>
          <w:szCs w:val="18"/>
        </w:rPr>
        <w:t>Available at: https://www.bi.team/wp-content/uploads/2015/07/BIT_FraudErrorDebt_accessible.pdf</w:t>
      </w:r>
    </w:p>
    <w:p w14:paraId="18DC955B" w14:textId="77777777" w:rsidR="00FD4751" w:rsidRDefault="00FD4751" w:rsidP="00E77651">
      <w:pPr>
        <w:pStyle w:val="p1"/>
        <w:spacing w:before="0" w:beforeAutospacing="0" w:after="0" w:afterAutospacing="0"/>
        <w:contextualSpacing/>
        <w:jc w:val="both"/>
        <w:rPr>
          <w:rStyle w:val="s1"/>
          <w:rFonts w:asciiTheme="minorHAnsi" w:eastAsiaTheme="majorEastAsia" w:hAnsiTheme="minorHAnsi"/>
          <w:b/>
          <w:bCs/>
          <w:sz w:val="18"/>
          <w:szCs w:val="18"/>
        </w:rPr>
      </w:pPr>
    </w:p>
    <w:p w14:paraId="7AC01A95" w14:textId="3626EE93" w:rsidR="00B3245F" w:rsidRPr="00E77651" w:rsidRDefault="00B3245F" w:rsidP="00E77651">
      <w:pPr>
        <w:pStyle w:val="p1"/>
        <w:spacing w:before="0" w:beforeAutospacing="0" w:after="0" w:afterAutospacing="0"/>
        <w:contextualSpacing/>
        <w:jc w:val="both"/>
        <w:rPr>
          <w:rFonts w:asciiTheme="minorHAnsi" w:hAnsiTheme="minorHAnsi"/>
          <w:sz w:val="18"/>
          <w:szCs w:val="18"/>
        </w:rPr>
      </w:pPr>
      <w:r w:rsidRPr="00E77651">
        <w:rPr>
          <w:rStyle w:val="s1"/>
          <w:rFonts w:asciiTheme="minorHAnsi" w:eastAsiaTheme="majorEastAsia" w:hAnsiTheme="minorHAnsi"/>
          <w:b/>
          <w:bCs/>
          <w:sz w:val="18"/>
          <w:szCs w:val="18"/>
        </w:rPr>
        <w:t>Behavioural Insights Team (2013).</w:t>
      </w:r>
      <w:r w:rsidRPr="00E77651">
        <w:rPr>
          <w:rFonts w:asciiTheme="minorHAnsi" w:hAnsiTheme="minorHAnsi"/>
          <w:sz w:val="18"/>
          <w:szCs w:val="18"/>
        </w:rPr>
        <w:t xml:space="preserve"> </w:t>
      </w:r>
      <w:r w:rsidRPr="00E77651">
        <w:rPr>
          <w:rFonts w:asciiTheme="minorHAnsi" w:hAnsiTheme="minorHAnsi"/>
          <w:i/>
          <w:iCs/>
          <w:sz w:val="18"/>
          <w:szCs w:val="18"/>
        </w:rPr>
        <w:t>Test, Learn, Adapt: Developing Public Policy with Randomised Controlled Trials.</w:t>
      </w:r>
      <w:r w:rsidRPr="00E77651">
        <w:rPr>
          <w:rFonts w:asciiTheme="minorHAnsi" w:hAnsiTheme="minorHAnsi"/>
          <w:sz w:val="18"/>
          <w:szCs w:val="18"/>
        </w:rPr>
        <w:t xml:space="preserve"> London: Cabinet Office.</w:t>
      </w:r>
      <w:r w:rsidR="00FD4751">
        <w:rPr>
          <w:rFonts w:asciiTheme="minorHAnsi" w:hAnsiTheme="minorHAnsi"/>
          <w:sz w:val="18"/>
          <w:szCs w:val="18"/>
        </w:rPr>
        <w:t xml:space="preserve"> </w:t>
      </w:r>
      <w:r w:rsidRPr="00E77651">
        <w:rPr>
          <w:rFonts w:asciiTheme="minorHAnsi" w:hAnsiTheme="minorHAnsi"/>
          <w:sz w:val="18"/>
          <w:szCs w:val="18"/>
        </w:rPr>
        <w:t>Available at: https://www.bi.team/publications/test-learn-adapt/</w:t>
      </w:r>
    </w:p>
    <w:p w14:paraId="77E4D467" w14:textId="77777777" w:rsidR="00FD4751" w:rsidRDefault="00FD4751" w:rsidP="00E77651">
      <w:pPr>
        <w:pStyle w:val="p3"/>
        <w:spacing w:before="0" w:beforeAutospacing="0" w:after="0" w:afterAutospacing="0"/>
        <w:contextualSpacing/>
        <w:jc w:val="both"/>
        <w:rPr>
          <w:rFonts w:asciiTheme="minorHAnsi" w:hAnsiTheme="minorHAnsi"/>
          <w:b/>
          <w:bCs/>
          <w:sz w:val="18"/>
          <w:szCs w:val="18"/>
        </w:rPr>
      </w:pPr>
    </w:p>
    <w:p w14:paraId="36C8BFE3" w14:textId="0E9B53A7" w:rsidR="00B3245F" w:rsidRPr="00E77651" w:rsidRDefault="00B3245F" w:rsidP="00E77651">
      <w:pPr>
        <w:pStyle w:val="p3"/>
        <w:spacing w:before="0" w:beforeAutospacing="0" w:after="0" w:afterAutospacing="0"/>
        <w:contextualSpacing/>
        <w:jc w:val="both"/>
        <w:rPr>
          <w:rFonts w:asciiTheme="minorHAnsi" w:hAnsiTheme="minorHAnsi"/>
          <w:sz w:val="18"/>
          <w:szCs w:val="18"/>
        </w:rPr>
      </w:pPr>
      <w:r w:rsidRPr="00E77651">
        <w:rPr>
          <w:rFonts w:asciiTheme="minorHAnsi" w:hAnsiTheme="minorHAnsi"/>
          <w:b/>
          <w:bCs/>
          <w:sz w:val="18"/>
          <w:szCs w:val="18"/>
        </w:rPr>
        <w:t>Behavioural Insights Team (2016).</w:t>
      </w:r>
      <w:r w:rsidRPr="00E77651">
        <w:rPr>
          <w:rStyle w:val="s2"/>
          <w:rFonts w:asciiTheme="minorHAnsi" w:eastAsiaTheme="majorEastAsia" w:hAnsiTheme="minorHAnsi"/>
          <w:sz w:val="18"/>
          <w:szCs w:val="18"/>
        </w:rPr>
        <w:t xml:space="preserve"> </w:t>
      </w:r>
      <w:r w:rsidRPr="00E77651">
        <w:rPr>
          <w:rStyle w:val="s2"/>
          <w:rFonts w:asciiTheme="minorHAnsi" w:eastAsiaTheme="majorEastAsia" w:hAnsiTheme="minorHAnsi"/>
          <w:i/>
          <w:iCs/>
          <w:sz w:val="18"/>
          <w:szCs w:val="18"/>
        </w:rPr>
        <w:t>Update Report 2015–16.</w:t>
      </w:r>
    </w:p>
    <w:p w14:paraId="09BDFBB7" w14:textId="0AF3D047" w:rsidR="00B3245F" w:rsidRPr="00E77651" w:rsidRDefault="00B3245F" w:rsidP="00E77651">
      <w:pPr>
        <w:pStyle w:val="p1"/>
        <w:spacing w:before="0" w:beforeAutospacing="0" w:after="0" w:afterAutospacing="0"/>
        <w:contextualSpacing/>
        <w:jc w:val="both"/>
        <w:rPr>
          <w:rFonts w:asciiTheme="minorHAnsi" w:hAnsiTheme="minorHAnsi"/>
          <w:sz w:val="18"/>
          <w:szCs w:val="18"/>
        </w:rPr>
      </w:pPr>
      <w:r w:rsidRPr="00E77651">
        <w:rPr>
          <w:rFonts w:asciiTheme="minorHAnsi" w:hAnsiTheme="minorHAnsi"/>
          <w:sz w:val="18"/>
          <w:szCs w:val="18"/>
        </w:rPr>
        <w:t>Includes early NHS trials of SMS reminders.</w:t>
      </w:r>
      <w:r w:rsidR="00FD4751">
        <w:rPr>
          <w:rFonts w:asciiTheme="minorHAnsi" w:hAnsiTheme="minorHAnsi"/>
          <w:sz w:val="18"/>
          <w:szCs w:val="18"/>
        </w:rPr>
        <w:t xml:space="preserve"> </w:t>
      </w:r>
      <w:r w:rsidRPr="00E77651">
        <w:rPr>
          <w:rFonts w:asciiTheme="minorHAnsi" w:hAnsiTheme="minorHAnsi"/>
          <w:sz w:val="18"/>
          <w:szCs w:val="18"/>
        </w:rPr>
        <w:t>Available at: https://www.bi.team/publications/update-report-2015-16/</w:t>
      </w:r>
    </w:p>
    <w:p w14:paraId="31550C71" w14:textId="77777777" w:rsidR="00FD4751" w:rsidRDefault="00FD4751" w:rsidP="00E77651">
      <w:pPr>
        <w:pStyle w:val="p1"/>
        <w:spacing w:before="0" w:beforeAutospacing="0" w:after="0" w:afterAutospacing="0"/>
        <w:contextualSpacing/>
        <w:jc w:val="both"/>
        <w:rPr>
          <w:rStyle w:val="s1"/>
          <w:rFonts w:asciiTheme="minorHAnsi" w:eastAsiaTheme="majorEastAsia" w:hAnsiTheme="minorHAnsi"/>
          <w:b/>
          <w:bCs/>
          <w:sz w:val="18"/>
          <w:szCs w:val="18"/>
        </w:rPr>
      </w:pPr>
    </w:p>
    <w:p w14:paraId="5C2A2C2B" w14:textId="577BD138" w:rsidR="00B3245F" w:rsidRPr="00E77651" w:rsidRDefault="00B3245F" w:rsidP="00E77651">
      <w:pPr>
        <w:pStyle w:val="p1"/>
        <w:spacing w:before="0" w:beforeAutospacing="0" w:after="0" w:afterAutospacing="0"/>
        <w:contextualSpacing/>
        <w:jc w:val="both"/>
        <w:rPr>
          <w:rFonts w:asciiTheme="minorHAnsi" w:hAnsiTheme="minorHAnsi"/>
          <w:sz w:val="18"/>
          <w:szCs w:val="18"/>
        </w:rPr>
      </w:pPr>
      <w:r w:rsidRPr="00E77651">
        <w:rPr>
          <w:rStyle w:val="s1"/>
          <w:rFonts w:asciiTheme="minorHAnsi" w:eastAsiaTheme="majorEastAsia" w:hAnsiTheme="minorHAnsi"/>
          <w:b/>
          <w:bCs/>
          <w:sz w:val="18"/>
          <w:szCs w:val="18"/>
        </w:rPr>
        <w:t>Behavioural Insights Team (2018).</w:t>
      </w:r>
      <w:r w:rsidRPr="00E77651">
        <w:rPr>
          <w:rFonts w:asciiTheme="minorHAnsi" w:hAnsiTheme="minorHAnsi"/>
          <w:sz w:val="18"/>
          <w:szCs w:val="18"/>
        </w:rPr>
        <w:t xml:space="preserve"> </w:t>
      </w:r>
      <w:r w:rsidRPr="00E77651">
        <w:rPr>
          <w:rFonts w:asciiTheme="minorHAnsi" w:hAnsiTheme="minorHAnsi"/>
          <w:i/>
          <w:iCs/>
          <w:sz w:val="18"/>
          <w:szCs w:val="18"/>
        </w:rPr>
        <w:t>Retention and success in maths and English: Using behavioural insights to improve learners’ outcomes in further education.</w:t>
      </w:r>
      <w:r w:rsidR="00FD4751">
        <w:rPr>
          <w:rFonts w:asciiTheme="minorHAnsi" w:hAnsiTheme="minorHAnsi"/>
          <w:sz w:val="18"/>
          <w:szCs w:val="18"/>
        </w:rPr>
        <w:t xml:space="preserve"> </w:t>
      </w:r>
      <w:r w:rsidRPr="00E77651">
        <w:rPr>
          <w:rFonts w:asciiTheme="minorHAnsi" w:hAnsiTheme="minorHAnsi"/>
          <w:sz w:val="18"/>
          <w:szCs w:val="18"/>
        </w:rPr>
        <w:t>Available at: https://www.bi.team/publications/retention-and-success-in-maths-and-english/</w:t>
      </w:r>
    </w:p>
    <w:p w14:paraId="2277D0C1" w14:textId="77777777" w:rsidR="00FD4751" w:rsidRDefault="00FD4751" w:rsidP="00E77651">
      <w:pPr>
        <w:pStyle w:val="p1"/>
        <w:spacing w:before="0" w:beforeAutospacing="0" w:after="0" w:afterAutospacing="0"/>
        <w:contextualSpacing/>
        <w:jc w:val="both"/>
        <w:rPr>
          <w:rStyle w:val="s1"/>
          <w:rFonts w:asciiTheme="minorHAnsi" w:eastAsiaTheme="majorEastAsia" w:hAnsiTheme="minorHAnsi"/>
          <w:b/>
          <w:bCs/>
          <w:sz w:val="18"/>
          <w:szCs w:val="18"/>
        </w:rPr>
      </w:pPr>
    </w:p>
    <w:p w14:paraId="58ED5625" w14:textId="4416318D" w:rsidR="00B3245F" w:rsidRPr="00E77651" w:rsidRDefault="00B3245F" w:rsidP="00E77651">
      <w:pPr>
        <w:pStyle w:val="p1"/>
        <w:spacing w:before="0" w:beforeAutospacing="0" w:after="0" w:afterAutospacing="0"/>
        <w:contextualSpacing/>
        <w:jc w:val="both"/>
        <w:rPr>
          <w:rFonts w:asciiTheme="minorHAnsi" w:hAnsiTheme="minorHAnsi"/>
          <w:sz w:val="18"/>
          <w:szCs w:val="18"/>
        </w:rPr>
      </w:pPr>
      <w:r w:rsidRPr="00E77651">
        <w:rPr>
          <w:rStyle w:val="s1"/>
          <w:rFonts w:asciiTheme="minorHAnsi" w:eastAsiaTheme="majorEastAsia" w:hAnsiTheme="minorHAnsi"/>
          <w:b/>
          <w:bCs/>
          <w:sz w:val="18"/>
          <w:szCs w:val="18"/>
        </w:rPr>
        <w:t>Behavioural Insights Team (2020).</w:t>
      </w:r>
      <w:r w:rsidRPr="00E77651">
        <w:rPr>
          <w:rFonts w:asciiTheme="minorHAnsi" w:hAnsiTheme="minorHAnsi"/>
          <w:sz w:val="18"/>
          <w:szCs w:val="18"/>
        </w:rPr>
        <w:t xml:space="preserve"> </w:t>
      </w:r>
      <w:r w:rsidRPr="00E77651">
        <w:rPr>
          <w:rFonts w:asciiTheme="minorHAnsi" w:hAnsiTheme="minorHAnsi"/>
          <w:i/>
          <w:iCs/>
          <w:sz w:val="18"/>
          <w:szCs w:val="18"/>
        </w:rPr>
        <w:t>Empathetic text messages to improve therapy attendance.</w:t>
      </w:r>
    </w:p>
    <w:p w14:paraId="675338A5" w14:textId="007EAA91" w:rsidR="00B3245F" w:rsidRPr="00E77651" w:rsidRDefault="00B3245F" w:rsidP="00E77651">
      <w:pPr>
        <w:pStyle w:val="p1"/>
        <w:spacing w:before="0" w:beforeAutospacing="0" w:after="0" w:afterAutospacing="0"/>
        <w:contextualSpacing/>
        <w:jc w:val="both"/>
        <w:rPr>
          <w:rFonts w:asciiTheme="minorHAnsi" w:hAnsiTheme="minorHAnsi"/>
          <w:sz w:val="18"/>
          <w:szCs w:val="18"/>
        </w:rPr>
      </w:pPr>
      <w:r w:rsidRPr="00E77651">
        <w:rPr>
          <w:rFonts w:asciiTheme="minorHAnsi" w:hAnsiTheme="minorHAnsi"/>
          <w:sz w:val="18"/>
          <w:szCs w:val="18"/>
        </w:rPr>
        <w:t>RCT on IAPT attendance.</w:t>
      </w:r>
      <w:r w:rsidR="00FD4751">
        <w:rPr>
          <w:rFonts w:asciiTheme="minorHAnsi" w:hAnsiTheme="minorHAnsi"/>
          <w:sz w:val="18"/>
          <w:szCs w:val="18"/>
        </w:rPr>
        <w:t xml:space="preserve"> </w:t>
      </w:r>
      <w:r w:rsidRPr="00E77651">
        <w:rPr>
          <w:rFonts w:asciiTheme="minorHAnsi" w:hAnsiTheme="minorHAnsi"/>
          <w:sz w:val="18"/>
          <w:szCs w:val="18"/>
        </w:rPr>
        <w:t>Available at: https://www.bi.team/publications/using-text-messages-to-improve-therapy-attendance/</w:t>
      </w:r>
    </w:p>
    <w:p w14:paraId="606C6CC0" w14:textId="77777777" w:rsidR="00FD4751" w:rsidRDefault="00FD4751" w:rsidP="00E77651">
      <w:pPr>
        <w:pStyle w:val="p1"/>
        <w:spacing w:before="0" w:beforeAutospacing="0" w:after="0" w:afterAutospacing="0"/>
        <w:contextualSpacing/>
        <w:jc w:val="both"/>
        <w:rPr>
          <w:rStyle w:val="s1"/>
          <w:rFonts w:asciiTheme="minorHAnsi" w:eastAsiaTheme="majorEastAsia" w:hAnsiTheme="minorHAnsi"/>
          <w:b/>
          <w:bCs/>
          <w:sz w:val="18"/>
          <w:szCs w:val="18"/>
        </w:rPr>
      </w:pPr>
    </w:p>
    <w:p w14:paraId="0940010C" w14:textId="358E7339" w:rsidR="00B3245F" w:rsidRPr="00E77651" w:rsidRDefault="00B3245F" w:rsidP="00E77651">
      <w:pPr>
        <w:pStyle w:val="p1"/>
        <w:spacing w:before="0" w:beforeAutospacing="0" w:after="0" w:afterAutospacing="0"/>
        <w:contextualSpacing/>
        <w:jc w:val="both"/>
        <w:rPr>
          <w:rFonts w:asciiTheme="minorHAnsi" w:hAnsiTheme="minorHAnsi"/>
          <w:sz w:val="18"/>
          <w:szCs w:val="18"/>
        </w:rPr>
      </w:pPr>
      <w:r w:rsidRPr="00E77651">
        <w:rPr>
          <w:rStyle w:val="s1"/>
          <w:rFonts w:asciiTheme="minorHAnsi" w:eastAsiaTheme="majorEastAsia" w:hAnsiTheme="minorHAnsi"/>
          <w:b/>
          <w:bCs/>
          <w:sz w:val="18"/>
          <w:szCs w:val="18"/>
        </w:rPr>
        <w:t>Hallsworth, M., Berry, D., Sanders, M., Sallis, A., King, D., Vlaev, I. and Darzi, A. (2015).</w:t>
      </w:r>
      <w:r w:rsidRPr="00E77651">
        <w:rPr>
          <w:rFonts w:asciiTheme="minorHAnsi" w:hAnsiTheme="minorHAnsi"/>
          <w:sz w:val="18"/>
          <w:szCs w:val="18"/>
        </w:rPr>
        <w:t xml:space="preserve"> </w:t>
      </w:r>
      <w:r w:rsidRPr="00E77651">
        <w:rPr>
          <w:rFonts w:asciiTheme="minorHAnsi" w:hAnsiTheme="minorHAnsi"/>
          <w:i/>
          <w:iCs/>
          <w:sz w:val="18"/>
          <w:szCs w:val="18"/>
        </w:rPr>
        <w:t>Stating appointment costs in SMS reminders reduces missed hospital appointments: Findings from two randomised controlled trials.</w:t>
      </w:r>
      <w:r w:rsidRPr="00E77651">
        <w:rPr>
          <w:rFonts w:asciiTheme="minorHAnsi" w:hAnsiTheme="minorHAnsi"/>
          <w:sz w:val="18"/>
          <w:szCs w:val="18"/>
        </w:rPr>
        <w:t xml:space="preserve"> </w:t>
      </w:r>
      <w:proofErr w:type="spellStart"/>
      <w:r w:rsidRPr="00E77651">
        <w:rPr>
          <w:rFonts w:asciiTheme="minorHAnsi" w:hAnsiTheme="minorHAnsi"/>
          <w:sz w:val="18"/>
          <w:szCs w:val="18"/>
        </w:rPr>
        <w:t>PLoS</w:t>
      </w:r>
      <w:proofErr w:type="spellEnd"/>
      <w:r w:rsidRPr="00E77651">
        <w:rPr>
          <w:rFonts w:asciiTheme="minorHAnsi" w:hAnsiTheme="minorHAnsi"/>
          <w:sz w:val="18"/>
          <w:szCs w:val="18"/>
        </w:rPr>
        <w:t xml:space="preserve"> ONE, 10(9), e0137306.</w:t>
      </w:r>
      <w:r w:rsidR="00FD4751">
        <w:rPr>
          <w:rFonts w:asciiTheme="minorHAnsi" w:hAnsiTheme="minorHAnsi"/>
          <w:sz w:val="18"/>
          <w:szCs w:val="18"/>
        </w:rPr>
        <w:t xml:space="preserve"> </w:t>
      </w:r>
      <w:r w:rsidRPr="00E77651">
        <w:rPr>
          <w:rFonts w:asciiTheme="minorHAnsi" w:hAnsiTheme="minorHAnsi"/>
          <w:sz w:val="18"/>
          <w:szCs w:val="18"/>
        </w:rPr>
        <w:t>https://doi.org/10.1371/journal.pone.0137306</w:t>
      </w:r>
    </w:p>
    <w:p w14:paraId="51C9A3BA" w14:textId="77777777" w:rsidR="00FD4751" w:rsidRDefault="00FD4751" w:rsidP="00E77651">
      <w:pPr>
        <w:pStyle w:val="p1"/>
        <w:spacing w:before="0" w:beforeAutospacing="0" w:after="0" w:afterAutospacing="0"/>
        <w:contextualSpacing/>
        <w:jc w:val="both"/>
        <w:rPr>
          <w:rStyle w:val="s1"/>
          <w:rFonts w:asciiTheme="minorHAnsi" w:eastAsiaTheme="majorEastAsia" w:hAnsiTheme="minorHAnsi"/>
          <w:b/>
          <w:bCs/>
          <w:sz w:val="18"/>
          <w:szCs w:val="18"/>
        </w:rPr>
      </w:pPr>
    </w:p>
    <w:p w14:paraId="6142D68C" w14:textId="20D52A2F" w:rsidR="00B3245F" w:rsidRPr="00E77651" w:rsidRDefault="00B3245F" w:rsidP="00E77651">
      <w:pPr>
        <w:pStyle w:val="p1"/>
        <w:spacing w:before="0" w:beforeAutospacing="0" w:after="0" w:afterAutospacing="0"/>
        <w:contextualSpacing/>
        <w:jc w:val="both"/>
        <w:rPr>
          <w:rFonts w:asciiTheme="minorHAnsi" w:hAnsiTheme="minorHAnsi"/>
          <w:sz w:val="18"/>
          <w:szCs w:val="18"/>
        </w:rPr>
      </w:pPr>
      <w:r w:rsidRPr="00E77651">
        <w:rPr>
          <w:rStyle w:val="s1"/>
          <w:rFonts w:asciiTheme="minorHAnsi" w:eastAsiaTheme="majorEastAsia" w:hAnsiTheme="minorHAnsi"/>
          <w:b/>
          <w:bCs/>
          <w:sz w:val="18"/>
          <w:szCs w:val="18"/>
        </w:rPr>
        <w:t>Rogers, T., Duncan, T. and Wolford, T. (2017).</w:t>
      </w:r>
      <w:r w:rsidRPr="00E77651">
        <w:rPr>
          <w:rFonts w:asciiTheme="minorHAnsi" w:hAnsiTheme="minorHAnsi"/>
          <w:sz w:val="18"/>
          <w:szCs w:val="18"/>
        </w:rPr>
        <w:t xml:space="preserve"> </w:t>
      </w:r>
      <w:r w:rsidRPr="00E77651">
        <w:rPr>
          <w:rFonts w:asciiTheme="minorHAnsi" w:hAnsiTheme="minorHAnsi"/>
          <w:i/>
          <w:iCs/>
          <w:sz w:val="18"/>
          <w:szCs w:val="18"/>
        </w:rPr>
        <w:t>Using data and nudges to help students succeed.</w:t>
      </w:r>
      <w:r w:rsidRPr="00E77651">
        <w:rPr>
          <w:rFonts w:asciiTheme="minorHAnsi" w:hAnsiTheme="minorHAnsi"/>
          <w:sz w:val="18"/>
          <w:szCs w:val="18"/>
        </w:rPr>
        <w:t xml:space="preserve"> </w:t>
      </w:r>
      <w:proofErr w:type="spellStart"/>
      <w:r w:rsidRPr="00E77651">
        <w:rPr>
          <w:rFonts w:asciiTheme="minorHAnsi" w:hAnsiTheme="minorHAnsi"/>
          <w:sz w:val="18"/>
          <w:szCs w:val="18"/>
        </w:rPr>
        <w:t>Behavioral</w:t>
      </w:r>
      <w:proofErr w:type="spellEnd"/>
      <w:r w:rsidRPr="00E77651">
        <w:rPr>
          <w:rFonts w:asciiTheme="minorHAnsi" w:hAnsiTheme="minorHAnsi"/>
          <w:sz w:val="18"/>
          <w:szCs w:val="18"/>
        </w:rPr>
        <w:t xml:space="preserve"> Science &amp; Policy, 3(2), pp. 68–86.</w:t>
      </w:r>
      <w:r w:rsidR="00FD4751">
        <w:rPr>
          <w:rFonts w:asciiTheme="minorHAnsi" w:hAnsiTheme="minorHAnsi"/>
          <w:sz w:val="18"/>
          <w:szCs w:val="18"/>
        </w:rPr>
        <w:t xml:space="preserve"> </w:t>
      </w:r>
      <w:r w:rsidRPr="00E77651">
        <w:rPr>
          <w:rFonts w:asciiTheme="minorHAnsi" w:hAnsiTheme="minorHAnsi"/>
          <w:sz w:val="18"/>
          <w:szCs w:val="18"/>
        </w:rPr>
        <w:t>https://doi.org/10.1353/bsp.2017.0016</w:t>
      </w:r>
    </w:p>
    <w:p w14:paraId="1252EB18" w14:textId="124B1F8E" w:rsidR="00B3245F" w:rsidRPr="00E77651" w:rsidRDefault="00B3245F" w:rsidP="00E77651">
      <w:pPr>
        <w:contextualSpacing/>
        <w:jc w:val="both"/>
        <w:rPr>
          <w:rFonts w:asciiTheme="minorHAnsi" w:hAnsiTheme="minorHAnsi"/>
          <w:sz w:val="18"/>
          <w:szCs w:val="18"/>
        </w:rPr>
      </w:pPr>
    </w:p>
    <w:p w14:paraId="153DD10E" w14:textId="6968D8B1" w:rsidR="00FC6E9F" w:rsidRPr="00FD4751" w:rsidRDefault="00FC6E9F" w:rsidP="00E77651">
      <w:pPr>
        <w:contextualSpacing/>
        <w:jc w:val="both"/>
        <w:rPr>
          <w:rFonts w:asciiTheme="minorHAnsi" w:hAnsiTheme="minorHAnsi"/>
          <w:b/>
          <w:bCs/>
          <w:sz w:val="18"/>
          <w:szCs w:val="18"/>
        </w:rPr>
      </w:pPr>
      <w:r w:rsidRPr="00FD4751">
        <w:rPr>
          <w:rFonts w:asciiTheme="minorHAnsi" w:hAnsiTheme="minorHAnsi"/>
          <w:b/>
          <w:bCs/>
          <w:sz w:val="18"/>
          <w:szCs w:val="18"/>
        </w:rPr>
        <w:t>Appendices</w:t>
      </w:r>
    </w:p>
    <w:p w14:paraId="2321EC8B" w14:textId="77777777" w:rsidR="00FC6E9F" w:rsidRDefault="00FC6E9F" w:rsidP="00E77651">
      <w:pPr>
        <w:contextualSpacing/>
        <w:jc w:val="both"/>
        <w:rPr>
          <w:rFonts w:asciiTheme="minorHAnsi" w:hAnsiTheme="minorHAnsi"/>
          <w:sz w:val="18"/>
          <w:szCs w:val="18"/>
        </w:rPr>
      </w:pPr>
    </w:p>
    <w:p w14:paraId="29FBF1D6" w14:textId="6A8C2A54" w:rsidR="00E77651" w:rsidRPr="00E77651" w:rsidRDefault="00E77651" w:rsidP="00E77651">
      <w:pPr>
        <w:contextualSpacing/>
        <w:jc w:val="both"/>
        <w:rPr>
          <w:rFonts w:asciiTheme="minorHAnsi" w:hAnsiTheme="minorHAnsi"/>
          <w:sz w:val="18"/>
          <w:szCs w:val="18"/>
        </w:rPr>
      </w:pPr>
      <w:r w:rsidRPr="00E77651">
        <w:rPr>
          <w:rFonts w:asciiTheme="minorHAnsi" w:hAnsiTheme="minorHAnsi"/>
          <w:noProof/>
          <w:sz w:val="18"/>
          <w:szCs w:val="18"/>
        </w:rPr>
        <w:lastRenderedPageBreak/>
        <w:drawing>
          <wp:inline distT="0" distB="0" distL="0" distR="0" wp14:anchorId="1E40C769" wp14:editId="2317DDA0">
            <wp:extent cx="5731510" cy="2710939"/>
            <wp:effectExtent l="0" t="0" r="0" b="0"/>
            <wp:docPr id="406582974" name="Chart 1">
              <a:extLst xmlns:a="http://schemas.openxmlformats.org/drawingml/2006/main">
                <a:ext uri="{FF2B5EF4-FFF2-40B4-BE49-F238E27FC236}">
                  <a16:creationId xmlns:a16="http://schemas.microsoft.com/office/drawing/2014/main" id="{EEC76D97-C147-1081-8B20-DC24B434C4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sectPr w:rsidR="00E77651" w:rsidRPr="00E776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C106C"/>
    <w:multiLevelType w:val="multilevel"/>
    <w:tmpl w:val="8326BD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0E553F"/>
    <w:multiLevelType w:val="multilevel"/>
    <w:tmpl w:val="4D5C3E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7408EC"/>
    <w:multiLevelType w:val="multilevel"/>
    <w:tmpl w:val="F9D281AA"/>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EF41B2"/>
    <w:multiLevelType w:val="multilevel"/>
    <w:tmpl w:val="F7040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0B11EB"/>
    <w:multiLevelType w:val="hybridMultilevel"/>
    <w:tmpl w:val="2F2404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923847"/>
    <w:multiLevelType w:val="multilevel"/>
    <w:tmpl w:val="5DCCB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0F7A40"/>
    <w:multiLevelType w:val="multilevel"/>
    <w:tmpl w:val="5BF2D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EB2CB2"/>
    <w:multiLevelType w:val="hybridMultilevel"/>
    <w:tmpl w:val="A350A6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E6F6293"/>
    <w:multiLevelType w:val="multilevel"/>
    <w:tmpl w:val="B4C8F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FD3764"/>
    <w:multiLevelType w:val="multilevel"/>
    <w:tmpl w:val="68A4E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7548FF"/>
    <w:multiLevelType w:val="multilevel"/>
    <w:tmpl w:val="52CE2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D311A0"/>
    <w:multiLevelType w:val="multilevel"/>
    <w:tmpl w:val="D3EC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37014C"/>
    <w:multiLevelType w:val="multilevel"/>
    <w:tmpl w:val="DC72A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554D17"/>
    <w:multiLevelType w:val="multilevel"/>
    <w:tmpl w:val="430A2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C80E2E"/>
    <w:multiLevelType w:val="multilevel"/>
    <w:tmpl w:val="73A28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FB1B24"/>
    <w:multiLevelType w:val="multilevel"/>
    <w:tmpl w:val="F6B2C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9285654">
    <w:abstractNumId w:val="1"/>
  </w:num>
  <w:num w:numId="2" w16cid:durableId="1217012972">
    <w:abstractNumId w:val="8"/>
  </w:num>
  <w:num w:numId="3" w16cid:durableId="1731072750">
    <w:abstractNumId w:val="3"/>
  </w:num>
  <w:num w:numId="4" w16cid:durableId="386954191">
    <w:abstractNumId w:val="0"/>
  </w:num>
  <w:num w:numId="5" w16cid:durableId="1552183771">
    <w:abstractNumId w:val="2"/>
  </w:num>
  <w:num w:numId="6" w16cid:durableId="1469666884">
    <w:abstractNumId w:val="15"/>
  </w:num>
  <w:num w:numId="7" w16cid:durableId="706755856">
    <w:abstractNumId w:val="5"/>
  </w:num>
  <w:num w:numId="8" w16cid:durableId="376593288">
    <w:abstractNumId w:val="7"/>
  </w:num>
  <w:num w:numId="9" w16cid:durableId="186524422">
    <w:abstractNumId w:val="9"/>
  </w:num>
  <w:num w:numId="10" w16cid:durableId="1785271269">
    <w:abstractNumId w:val="10"/>
  </w:num>
  <w:num w:numId="11" w16cid:durableId="1306934453">
    <w:abstractNumId w:val="13"/>
  </w:num>
  <w:num w:numId="12" w16cid:durableId="976690512">
    <w:abstractNumId w:val="12"/>
  </w:num>
  <w:num w:numId="13" w16cid:durableId="1717318942">
    <w:abstractNumId w:val="14"/>
  </w:num>
  <w:num w:numId="14" w16cid:durableId="902180080">
    <w:abstractNumId w:val="4"/>
  </w:num>
  <w:num w:numId="15" w16cid:durableId="1116948072">
    <w:abstractNumId w:val="11"/>
  </w:num>
  <w:num w:numId="16" w16cid:durableId="16621523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E9F"/>
    <w:rsid w:val="003E3ADF"/>
    <w:rsid w:val="004B0854"/>
    <w:rsid w:val="00607272"/>
    <w:rsid w:val="00704254"/>
    <w:rsid w:val="0086265B"/>
    <w:rsid w:val="009A7B82"/>
    <w:rsid w:val="009D4C23"/>
    <w:rsid w:val="00B3245F"/>
    <w:rsid w:val="00B84828"/>
    <w:rsid w:val="00D0649D"/>
    <w:rsid w:val="00DB0F83"/>
    <w:rsid w:val="00DD353C"/>
    <w:rsid w:val="00E63DFC"/>
    <w:rsid w:val="00E77651"/>
    <w:rsid w:val="00F44D95"/>
    <w:rsid w:val="00FC6E9F"/>
    <w:rsid w:val="00FD47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209BD"/>
  <w15:chartTrackingRefBased/>
  <w15:docId w15:val="{2A48D3E3-D9D1-5C4E-AC16-39E40CC79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7651"/>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FC6E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C6E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C6E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C6E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6E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6E9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6E9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6E9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6E9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6E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C6E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C6E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C6E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6E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6E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6E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6E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6E9F"/>
    <w:rPr>
      <w:rFonts w:eastAsiaTheme="majorEastAsia" w:cstheme="majorBidi"/>
      <w:color w:val="272727" w:themeColor="text1" w:themeTint="D8"/>
    </w:rPr>
  </w:style>
  <w:style w:type="paragraph" w:styleId="Title">
    <w:name w:val="Title"/>
    <w:basedOn w:val="Normal"/>
    <w:next w:val="Normal"/>
    <w:link w:val="TitleChar"/>
    <w:uiPriority w:val="10"/>
    <w:qFormat/>
    <w:rsid w:val="00FC6E9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E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6E9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6E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6E9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C6E9F"/>
    <w:rPr>
      <w:i/>
      <w:iCs/>
      <w:color w:val="404040" w:themeColor="text1" w:themeTint="BF"/>
    </w:rPr>
  </w:style>
  <w:style w:type="paragraph" w:styleId="ListParagraph">
    <w:name w:val="List Paragraph"/>
    <w:basedOn w:val="Normal"/>
    <w:uiPriority w:val="34"/>
    <w:qFormat/>
    <w:rsid w:val="00FC6E9F"/>
    <w:pPr>
      <w:ind w:left="720"/>
      <w:contextualSpacing/>
    </w:pPr>
  </w:style>
  <w:style w:type="character" w:styleId="IntenseEmphasis">
    <w:name w:val="Intense Emphasis"/>
    <w:basedOn w:val="DefaultParagraphFont"/>
    <w:uiPriority w:val="21"/>
    <w:qFormat/>
    <w:rsid w:val="00FC6E9F"/>
    <w:rPr>
      <w:i/>
      <w:iCs/>
      <w:color w:val="0F4761" w:themeColor="accent1" w:themeShade="BF"/>
    </w:rPr>
  </w:style>
  <w:style w:type="paragraph" w:styleId="IntenseQuote">
    <w:name w:val="Intense Quote"/>
    <w:basedOn w:val="Normal"/>
    <w:next w:val="Normal"/>
    <w:link w:val="IntenseQuoteChar"/>
    <w:uiPriority w:val="30"/>
    <w:qFormat/>
    <w:rsid w:val="00FC6E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6E9F"/>
    <w:rPr>
      <w:i/>
      <w:iCs/>
      <w:color w:val="0F4761" w:themeColor="accent1" w:themeShade="BF"/>
    </w:rPr>
  </w:style>
  <w:style w:type="character" w:styleId="IntenseReference">
    <w:name w:val="Intense Reference"/>
    <w:basedOn w:val="DefaultParagraphFont"/>
    <w:uiPriority w:val="32"/>
    <w:qFormat/>
    <w:rsid w:val="00FC6E9F"/>
    <w:rPr>
      <w:b/>
      <w:bCs/>
      <w:smallCaps/>
      <w:color w:val="0F4761" w:themeColor="accent1" w:themeShade="BF"/>
      <w:spacing w:val="5"/>
    </w:rPr>
  </w:style>
  <w:style w:type="paragraph" w:customStyle="1" w:styleId="p1">
    <w:name w:val="p1"/>
    <w:basedOn w:val="Normal"/>
    <w:rsid w:val="00FC6E9F"/>
    <w:pPr>
      <w:spacing w:before="100" w:beforeAutospacing="1" w:after="100" w:afterAutospacing="1"/>
    </w:pPr>
  </w:style>
  <w:style w:type="character" w:customStyle="1" w:styleId="s1">
    <w:name w:val="s1"/>
    <w:basedOn w:val="DefaultParagraphFont"/>
    <w:rsid w:val="00B3245F"/>
  </w:style>
  <w:style w:type="paragraph" w:customStyle="1" w:styleId="p2">
    <w:name w:val="p2"/>
    <w:basedOn w:val="Normal"/>
    <w:rsid w:val="00B3245F"/>
    <w:pPr>
      <w:spacing w:before="100" w:beforeAutospacing="1" w:after="100" w:afterAutospacing="1"/>
    </w:pPr>
  </w:style>
  <w:style w:type="paragraph" w:customStyle="1" w:styleId="p3">
    <w:name w:val="p3"/>
    <w:basedOn w:val="Normal"/>
    <w:rsid w:val="00B3245F"/>
    <w:pPr>
      <w:spacing w:before="100" w:beforeAutospacing="1" w:after="100" w:afterAutospacing="1"/>
    </w:pPr>
  </w:style>
  <w:style w:type="character" w:customStyle="1" w:styleId="s2">
    <w:name w:val="s2"/>
    <w:basedOn w:val="DefaultParagraphFont"/>
    <w:rsid w:val="00B324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983744">
      <w:bodyDiv w:val="1"/>
      <w:marLeft w:val="0"/>
      <w:marRight w:val="0"/>
      <w:marTop w:val="0"/>
      <w:marBottom w:val="0"/>
      <w:divBdr>
        <w:top w:val="none" w:sz="0" w:space="0" w:color="auto"/>
        <w:left w:val="none" w:sz="0" w:space="0" w:color="auto"/>
        <w:bottom w:val="none" w:sz="0" w:space="0" w:color="auto"/>
        <w:right w:val="none" w:sz="0" w:space="0" w:color="auto"/>
      </w:divBdr>
    </w:div>
    <w:div w:id="259145945">
      <w:bodyDiv w:val="1"/>
      <w:marLeft w:val="0"/>
      <w:marRight w:val="0"/>
      <w:marTop w:val="0"/>
      <w:marBottom w:val="0"/>
      <w:divBdr>
        <w:top w:val="none" w:sz="0" w:space="0" w:color="auto"/>
        <w:left w:val="none" w:sz="0" w:space="0" w:color="auto"/>
        <w:bottom w:val="none" w:sz="0" w:space="0" w:color="auto"/>
        <w:right w:val="none" w:sz="0" w:space="0" w:color="auto"/>
      </w:divBdr>
    </w:div>
    <w:div w:id="499850117">
      <w:bodyDiv w:val="1"/>
      <w:marLeft w:val="0"/>
      <w:marRight w:val="0"/>
      <w:marTop w:val="0"/>
      <w:marBottom w:val="0"/>
      <w:divBdr>
        <w:top w:val="none" w:sz="0" w:space="0" w:color="auto"/>
        <w:left w:val="none" w:sz="0" w:space="0" w:color="auto"/>
        <w:bottom w:val="none" w:sz="0" w:space="0" w:color="auto"/>
        <w:right w:val="none" w:sz="0" w:space="0" w:color="auto"/>
      </w:divBdr>
    </w:div>
    <w:div w:id="689725582">
      <w:bodyDiv w:val="1"/>
      <w:marLeft w:val="0"/>
      <w:marRight w:val="0"/>
      <w:marTop w:val="0"/>
      <w:marBottom w:val="0"/>
      <w:divBdr>
        <w:top w:val="none" w:sz="0" w:space="0" w:color="auto"/>
        <w:left w:val="none" w:sz="0" w:space="0" w:color="auto"/>
        <w:bottom w:val="none" w:sz="0" w:space="0" w:color="auto"/>
        <w:right w:val="none" w:sz="0" w:space="0" w:color="auto"/>
      </w:divBdr>
    </w:div>
    <w:div w:id="690228555">
      <w:bodyDiv w:val="1"/>
      <w:marLeft w:val="0"/>
      <w:marRight w:val="0"/>
      <w:marTop w:val="0"/>
      <w:marBottom w:val="0"/>
      <w:divBdr>
        <w:top w:val="none" w:sz="0" w:space="0" w:color="auto"/>
        <w:left w:val="none" w:sz="0" w:space="0" w:color="auto"/>
        <w:bottom w:val="none" w:sz="0" w:space="0" w:color="auto"/>
        <w:right w:val="none" w:sz="0" w:space="0" w:color="auto"/>
      </w:divBdr>
    </w:div>
    <w:div w:id="708336906">
      <w:bodyDiv w:val="1"/>
      <w:marLeft w:val="0"/>
      <w:marRight w:val="0"/>
      <w:marTop w:val="0"/>
      <w:marBottom w:val="0"/>
      <w:divBdr>
        <w:top w:val="none" w:sz="0" w:space="0" w:color="auto"/>
        <w:left w:val="none" w:sz="0" w:space="0" w:color="auto"/>
        <w:bottom w:val="none" w:sz="0" w:space="0" w:color="auto"/>
        <w:right w:val="none" w:sz="0" w:space="0" w:color="auto"/>
      </w:divBdr>
    </w:div>
    <w:div w:id="741026139">
      <w:bodyDiv w:val="1"/>
      <w:marLeft w:val="0"/>
      <w:marRight w:val="0"/>
      <w:marTop w:val="0"/>
      <w:marBottom w:val="0"/>
      <w:divBdr>
        <w:top w:val="none" w:sz="0" w:space="0" w:color="auto"/>
        <w:left w:val="none" w:sz="0" w:space="0" w:color="auto"/>
        <w:bottom w:val="none" w:sz="0" w:space="0" w:color="auto"/>
        <w:right w:val="none" w:sz="0" w:space="0" w:color="auto"/>
      </w:divBdr>
    </w:div>
    <w:div w:id="772365636">
      <w:bodyDiv w:val="1"/>
      <w:marLeft w:val="0"/>
      <w:marRight w:val="0"/>
      <w:marTop w:val="0"/>
      <w:marBottom w:val="0"/>
      <w:divBdr>
        <w:top w:val="none" w:sz="0" w:space="0" w:color="auto"/>
        <w:left w:val="none" w:sz="0" w:space="0" w:color="auto"/>
        <w:bottom w:val="none" w:sz="0" w:space="0" w:color="auto"/>
        <w:right w:val="none" w:sz="0" w:space="0" w:color="auto"/>
      </w:divBdr>
    </w:div>
    <w:div w:id="873925593">
      <w:bodyDiv w:val="1"/>
      <w:marLeft w:val="0"/>
      <w:marRight w:val="0"/>
      <w:marTop w:val="0"/>
      <w:marBottom w:val="0"/>
      <w:divBdr>
        <w:top w:val="none" w:sz="0" w:space="0" w:color="auto"/>
        <w:left w:val="none" w:sz="0" w:space="0" w:color="auto"/>
        <w:bottom w:val="none" w:sz="0" w:space="0" w:color="auto"/>
        <w:right w:val="none" w:sz="0" w:space="0" w:color="auto"/>
      </w:divBdr>
    </w:div>
    <w:div w:id="882640534">
      <w:bodyDiv w:val="1"/>
      <w:marLeft w:val="0"/>
      <w:marRight w:val="0"/>
      <w:marTop w:val="0"/>
      <w:marBottom w:val="0"/>
      <w:divBdr>
        <w:top w:val="none" w:sz="0" w:space="0" w:color="auto"/>
        <w:left w:val="none" w:sz="0" w:space="0" w:color="auto"/>
        <w:bottom w:val="none" w:sz="0" w:space="0" w:color="auto"/>
        <w:right w:val="none" w:sz="0" w:space="0" w:color="auto"/>
      </w:divBdr>
    </w:div>
    <w:div w:id="1018241961">
      <w:bodyDiv w:val="1"/>
      <w:marLeft w:val="0"/>
      <w:marRight w:val="0"/>
      <w:marTop w:val="0"/>
      <w:marBottom w:val="0"/>
      <w:divBdr>
        <w:top w:val="none" w:sz="0" w:space="0" w:color="auto"/>
        <w:left w:val="none" w:sz="0" w:space="0" w:color="auto"/>
        <w:bottom w:val="none" w:sz="0" w:space="0" w:color="auto"/>
        <w:right w:val="none" w:sz="0" w:space="0" w:color="auto"/>
      </w:divBdr>
    </w:div>
    <w:div w:id="1059670780">
      <w:bodyDiv w:val="1"/>
      <w:marLeft w:val="0"/>
      <w:marRight w:val="0"/>
      <w:marTop w:val="0"/>
      <w:marBottom w:val="0"/>
      <w:divBdr>
        <w:top w:val="none" w:sz="0" w:space="0" w:color="auto"/>
        <w:left w:val="none" w:sz="0" w:space="0" w:color="auto"/>
        <w:bottom w:val="none" w:sz="0" w:space="0" w:color="auto"/>
        <w:right w:val="none" w:sz="0" w:space="0" w:color="auto"/>
      </w:divBdr>
      <w:divsChild>
        <w:div w:id="1467509192">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060397264">
      <w:bodyDiv w:val="1"/>
      <w:marLeft w:val="0"/>
      <w:marRight w:val="0"/>
      <w:marTop w:val="0"/>
      <w:marBottom w:val="0"/>
      <w:divBdr>
        <w:top w:val="none" w:sz="0" w:space="0" w:color="auto"/>
        <w:left w:val="none" w:sz="0" w:space="0" w:color="auto"/>
        <w:bottom w:val="none" w:sz="0" w:space="0" w:color="auto"/>
        <w:right w:val="none" w:sz="0" w:space="0" w:color="auto"/>
      </w:divBdr>
    </w:div>
    <w:div w:id="1096828526">
      <w:bodyDiv w:val="1"/>
      <w:marLeft w:val="0"/>
      <w:marRight w:val="0"/>
      <w:marTop w:val="0"/>
      <w:marBottom w:val="0"/>
      <w:divBdr>
        <w:top w:val="none" w:sz="0" w:space="0" w:color="auto"/>
        <w:left w:val="none" w:sz="0" w:space="0" w:color="auto"/>
        <w:bottom w:val="none" w:sz="0" w:space="0" w:color="auto"/>
        <w:right w:val="none" w:sz="0" w:space="0" w:color="auto"/>
      </w:divBdr>
    </w:div>
    <w:div w:id="1207255073">
      <w:bodyDiv w:val="1"/>
      <w:marLeft w:val="0"/>
      <w:marRight w:val="0"/>
      <w:marTop w:val="0"/>
      <w:marBottom w:val="0"/>
      <w:divBdr>
        <w:top w:val="none" w:sz="0" w:space="0" w:color="auto"/>
        <w:left w:val="none" w:sz="0" w:space="0" w:color="auto"/>
        <w:bottom w:val="none" w:sz="0" w:space="0" w:color="auto"/>
        <w:right w:val="none" w:sz="0" w:space="0" w:color="auto"/>
      </w:divBdr>
    </w:div>
    <w:div w:id="1462110676">
      <w:bodyDiv w:val="1"/>
      <w:marLeft w:val="0"/>
      <w:marRight w:val="0"/>
      <w:marTop w:val="0"/>
      <w:marBottom w:val="0"/>
      <w:divBdr>
        <w:top w:val="none" w:sz="0" w:space="0" w:color="auto"/>
        <w:left w:val="none" w:sz="0" w:space="0" w:color="auto"/>
        <w:bottom w:val="none" w:sz="0" w:space="0" w:color="auto"/>
        <w:right w:val="none" w:sz="0" w:space="0" w:color="auto"/>
      </w:divBdr>
    </w:div>
    <w:div w:id="1488205082">
      <w:bodyDiv w:val="1"/>
      <w:marLeft w:val="0"/>
      <w:marRight w:val="0"/>
      <w:marTop w:val="0"/>
      <w:marBottom w:val="0"/>
      <w:divBdr>
        <w:top w:val="none" w:sz="0" w:space="0" w:color="auto"/>
        <w:left w:val="none" w:sz="0" w:space="0" w:color="auto"/>
        <w:bottom w:val="none" w:sz="0" w:space="0" w:color="auto"/>
        <w:right w:val="none" w:sz="0" w:space="0" w:color="auto"/>
      </w:divBdr>
    </w:div>
    <w:div w:id="1526365773">
      <w:bodyDiv w:val="1"/>
      <w:marLeft w:val="0"/>
      <w:marRight w:val="0"/>
      <w:marTop w:val="0"/>
      <w:marBottom w:val="0"/>
      <w:divBdr>
        <w:top w:val="none" w:sz="0" w:space="0" w:color="auto"/>
        <w:left w:val="none" w:sz="0" w:space="0" w:color="auto"/>
        <w:bottom w:val="none" w:sz="0" w:space="0" w:color="auto"/>
        <w:right w:val="none" w:sz="0" w:space="0" w:color="auto"/>
      </w:divBdr>
    </w:div>
    <w:div w:id="1559315010">
      <w:bodyDiv w:val="1"/>
      <w:marLeft w:val="0"/>
      <w:marRight w:val="0"/>
      <w:marTop w:val="0"/>
      <w:marBottom w:val="0"/>
      <w:divBdr>
        <w:top w:val="none" w:sz="0" w:space="0" w:color="auto"/>
        <w:left w:val="none" w:sz="0" w:space="0" w:color="auto"/>
        <w:bottom w:val="none" w:sz="0" w:space="0" w:color="auto"/>
        <w:right w:val="none" w:sz="0" w:space="0" w:color="auto"/>
      </w:divBdr>
    </w:div>
    <w:div w:id="1672685285">
      <w:bodyDiv w:val="1"/>
      <w:marLeft w:val="0"/>
      <w:marRight w:val="0"/>
      <w:marTop w:val="0"/>
      <w:marBottom w:val="0"/>
      <w:divBdr>
        <w:top w:val="none" w:sz="0" w:space="0" w:color="auto"/>
        <w:left w:val="none" w:sz="0" w:space="0" w:color="auto"/>
        <w:bottom w:val="none" w:sz="0" w:space="0" w:color="auto"/>
        <w:right w:val="none" w:sz="0" w:space="0" w:color="auto"/>
      </w:divBdr>
    </w:div>
    <w:div w:id="1689671348">
      <w:bodyDiv w:val="1"/>
      <w:marLeft w:val="0"/>
      <w:marRight w:val="0"/>
      <w:marTop w:val="0"/>
      <w:marBottom w:val="0"/>
      <w:divBdr>
        <w:top w:val="none" w:sz="0" w:space="0" w:color="auto"/>
        <w:left w:val="none" w:sz="0" w:space="0" w:color="auto"/>
        <w:bottom w:val="none" w:sz="0" w:space="0" w:color="auto"/>
        <w:right w:val="none" w:sz="0" w:space="0" w:color="auto"/>
      </w:divBdr>
    </w:div>
    <w:div w:id="2129353272">
      <w:bodyDiv w:val="1"/>
      <w:marLeft w:val="0"/>
      <w:marRight w:val="0"/>
      <w:marTop w:val="0"/>
      <w:marBottom w:val="0"/>
      <w:divBdr>
        <w:top w:val="none" w:sz="0" w:space="0" w:color="auto"/>
        <w:left w:val="none" w:sz="0" w:space="0" w:color="auto"/>
        <w:bottom w:val="none" w:sz="0" w:space="0" w:color="auto"/>
        <w:right w:val="none" w:sz="0" w:space="0" w:color="auto"/>
      </w:divBdr>
      <w:divsChild>
        <w:div w:id="789317999">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Users/james_smith/Library/Mobile%20Documents/com~apple~CloudDocs/James/Archive/Projects/Testing%20Texts/No%20Show%20Sta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900"/>
              <a:t>Skinsmiths No</a:t>
            </a:r>
            <a:r>
              <a:rPr lang="en-GB" sz="900" baseline="0"/>
              <a:t> Show Baseline Rates by Location</a:t>
            </a:r>
            <a:endParaRPr lang="en-GB" sz="9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B"/>
        </a:p>
      </c:txPr>
    </c:title>
    <c:autoTitleDeleted val="0"/>
    <c:plotArea>
      <c:layout/>
      <c:barChart>
        <c:barDir val="col"/>
        <c:grouping val="clustered"/>
        <c:varyColors val="0"/>
        <c:ser>
          <c:idx val="0"/>
          <c:order val="0"/>
          <c:tx>
            <c:strRef>
              <c:f>Sheet2!$B$1</c:f>
              <c:strCache>
                <c:ptCount val="1"/>
                <c:pt idx="0">
                  <c:v>January</c:v>
                </c:pt>
              </c:strCache>
            </c:strRef>
          </c:tx>
          <c:spPr>
            <a:pattFill prst="pct5">
              <a:fgClr>
                <a:schemeClr val="tx1"/>
              </a:fgClr>
              <a:bgClr>
                <a:schemeClr val="bg1"/>
              </a:bgClr>
            </a:pattFill>
            <a:ln>
              <a:solidFill>
                <a:schemeClr val="tx1"/>
              </a:solidFill>
            </a:ln>
            <a:effectLst/>
          </c:spPr>
          <c:invertIfNegative val="0"/>
          <c:cat>
            <c:strRef>
              <c:f>Sheet2!$A$2:$A$10</c:f>
              <c:strCache>
                <c:ptCount val="9"/>
                <c:pt idx="0">
                  <c:v>Hanwell</c:v>
                </c:pt>
                <c:pt idx="1">
                  <c:v>Clapham South</c:v>
                </c:pt>
                <c:pt idx="2">
                  <c:v>Bushey</c:v>
                </c:pt>
                <c:pt idx="3">
                  <c:v>Wimbledon Village</c:v>
                </c:pt>
                <c:pt idx="4">
                  <c:v>Belgravia</c:v>
                </c:pt>
                <c:pt idx="5">
                  <c:v>Putney Bridge</c:v>
                </c:pt>
                <c:pt idx="6">
                  <c:v>Tower Bridge</c:v>
                </c:pt>
                <c:pt idx="7">
                  <c:v>Liverpool St</c:v>
                </c:pt>
                <c:pt idx="8">
                  <c:v>Esher</c:v>
                </c:pt>
              </c:strCache>
            </c:strRef>
          </c:cat>
          <c:val>
            <c:numRef>
              <c:f>Sheet2!$B$2:$B$10</c:f>
              <c:numCache>
                <c:formatCode>0.00%</c:formatCode>
                <c:ptCount val="9"/>
                <c:pt idx="0">
                  <c:v>0.38709677419354838</c:v>
                </c:pt>
                <c:pt idx="1">
                  <c:v>0.16883116883116883</c:v>
                </c:pt>
                <c:pt idx="2">
                  <c:v>0.109375</c:v>
                </c:pt>
                <c:pt idx="3">
                  <c:v>0.16666666666666666</c:v>
                </c:pt>
                <c:pt idx="4">
                  <c:v>0.17721518987341772</c:v>
                </c:pt>
                <c:pt idx="5">
                  <c:v>0.16981132075471697</c:v>
                </c:pt>
                <c:pt idx="6">
                  <c:v>0.14814814814814814</c:v>
                </c:pt>
                <c:pt idx="7">
                  <c:v>8.6206896551724144E-2</c:v>
                </c:pt>
                <c:pt idx="8">
                  <c:v>0</c:v>
                </c:pt>
              </c:numCache>
            </c:numRef>
          </c:val>
          <c:extLst>
            <c:ext xmlns:c16="http://schemas.microsoft.com/office/drawing/2014/chart" uri="{C3380CC4-5D6E-409C-BE32-E72D297353CC}">
              <c16:uniqueId val="{00000000-996E-CC40-8F88-D46077A61963}"/>
            </c:ext>
          </c:extLst>
        </c:ser>
        <c:ser>
          <c:idx val="1"/>
          <c:order val="1"/>
          <c:tx>
            <c:strRef>
              <c:f>Sheet2!$C$1</c:f>
              <c:strCache>
                <c:ptCount val="1"/>
                <c:pt idx="0">
                  <c:v>February</c:v>
                </c:pt>
              </c:strCache>
            </c:strRef>
          </c:tx>
          <c:spPr>
            <a:pattFill prst="ltDnDiag">
              <a:fgClr>
                <a:schemeClr val="tx1"/>
              </a:fgClr>
              <a:bgClr>
                <a:schemeClr val="bg1"/>
              </a:bgClr>
            </a:pattFill>
            <a:ln>
              <a:solidFill>
                <a:schemeClr val="tx1"/>
              </a:solidFill>
            </a:ln>
            <a:effectLst/>
          </c:spPr>
          <c:invertIfNegative val="0"/>
          <c:cat>
            <c:strRef>
              <c:f>Sheet2!$A$2:$A$10</c:f>
              <c:strCache>
                <c:ptCount val="9"/>
                <c:pt idx="0">
                  <c:v>Hanwell</c:v>
                </c:pt>
                <c:pt idx="1">
                  <c:v>Clapham South</c:v>
                </c:pt>
                <c:pt idx="2">
                  <c:v>Bushey</c:v>
                </c:pt>
                <c:pt idx="3">
                  <c:v>Wimbledon Village</c:v>
                </c:pt>
                <c:pt idx="4">
                  <c:v>Belgravia</c:v>
                </c:pt>
                <c:pt idx="5">
                  <c:v>Putney Bridge</c:v>
                </c:pt>
                <c:pt idx="6">
                  <c:v>Tower Bridge</c:v>
                </c:pt>
                <c:pt idx="7">
                  <c:v>Liverpool St</c:v>
                </c:pt>
                <c:pt idx="8">
                  <c:v>Esher</c:v>
                </c:pt>
              </c:strCache>
            </c:strRef>
          </c:cat>
          <c:val>
            <c:numRef>
              <c:f>Sheet2!$C$2:$C$10</c:f>
              <c:numCache>
                <c:formatCode>0.00%</c:formatCode>
                <c:ptCount val="9"/>
                <c:pt idx="0">
                  <c:v>8.0645161290322578E-2</c:v>
                </c:pt>
                <c:pt idx="1">
                  <c:v>0.18888888888888888</c:v>
                </c:pt>
                <c:pt idx="2">
                  <c:v>0.2878787878787879</c:v>
                </c:pt>
                <c:pt idx="3">
                  <c:v>0.16666666666666666</c:v>
                </c:pt>
                <c:pt idx="4">
                  <c:v>0.14583333333333334</c:v>
                </c:pt>
                <c:pt idx="5">
                  <c:v>0.21428571428571427</c:v>
                </c:pt>
                <c:pt idx="6">
                  <c:v>0.13725490196078433</c:v>
                </c:pt>
                <c:pt idx="7">
                  <c:v>7.4999999999999997E-2</c:v>
                </c:pt>
                <c:pt idx="8">
                  <c:v>0.11428571428571428</c:v>
                </c:pt>
              </c:numCache>
            </c:numRef>
          </c:val>
          <c:extLst>
            <c:ext xmlns:c16="http://schemas.microsoft.com/office/drawing/2014/chart" uri="{C3380CC4-5D6E-409C-BE32-E72D297353CC}">
              <c16:uniqueId val="{00000001-996E-CC40-8F88-D46077A61963}"/>
            </c:ext>
          </c:extLst>
        </c:ser>
        <c:ser>
          <c:idx val="2"/>
          <c:order val="2"/>
          <c:tx>
            <c:strRef>
              <c:f>Sheet2!$D$1</c:f>
              <c:strCache>
                <c:ptCount val="1"/>
                <c:pt idx="0">
                  <c:v>March</c:v>
                </c:pt>
              </c:strCache>
            </c:strRef>
          </c:tx>
          <c:spPr>
            <a:pattFill prst="dashDnDiag">
              <a:fgClr>
                <a:schemeClr val="tx1"/>
              </a:fgClr>
              <a:bgClr>
                <a:schemeClr val="bg1"/>
              </a:bgClr>
            </a:pattFill>
            <a:ln>
              <a:solidFill>
                <a:schemeClr val="tx1"/>
              </a:solidFill>
            </a:ln>
            <a:effectLst/>
          </c:spPr>
          <c:invertIfNegative val="0"/>
          <c:cat>
            <c:strRef>
              <c:f>Sheet2!$A$2:$A$10</c:f>
              <c:strCache>
                <c:ptCount val="9"/>
                <c:pt idx="0">
                  <c:v>Hanwell</c:v>
                </c:pt>
                <c:pt idx="1">
                  <c:v>Clapham South</c:v>
                </c:pt>
                <c:pt idx="2">
                  <c:v>Bushey</c:v>
                </c:pt>
                <c:pt idx="3">
                  <c:v>Wimbledon Village</c:v>
                </c:pt>
                <c:pt idx="4">
                  <c:v>Belgravia</c:v>
                </c:pt>
                <c:pt idx="5">
                  <c:v>Putney Bridge</c:v>
                </c:pt>
                <c:pt idx="6">
                  <c:v>Tower Bridge</c:v>
                </c:pt>
                <c:pt idx="7">
                  <c:v>Liverpool St</c:v>
                </c:pt>
                <c:pt idx="8">
                  <c:v>Esher</c:v>
                </c:pt>
              </c:strCache>
            </c:strRef>
          </c:cat>
          <c:val>
            <c:numRef>
              <c:f>Sheet2!$D$2:$D$10</c:f>
              <c:numCache>
                <c:formatCode>0.00%</c:formatCode>
                <c:ptCount val="9"/>
                <c:pt idx="0">
                  <c:v>0.25714285714285712</c:v>
                </c:pt>
                <c:pt idx="1">
                  <c:v>0.2</c:v>
                </c:pt>
                <c:pt idx="2">
                  <c:v>0.10714285714285714</c:v>
                </c:pt>
                <c:pt idx="3">
                  <c:v>0.15873015873015872</c:v>
                </c:pt>
                <c:pt idx="4">
                  <c:v>0.16</c:v>
                </c:pt>
                <c:pt idx="5">
                  <c:v>4.5454545454545456E-2</c:v>
                </c:pt>
                <c:pt idx="6">
                  <c:v>0.14285714285714285</c:v>
                </c:pt>
                <c:pt idx="7">
                  <c:v>0.14285714285714285</c:v>
                </c:pt>
                <c:pt idx="8">
                  <c:v>0.1702127659574468</c:v>
                </c:pt>
              </c:numCache>
            </c:numRef>
          </c:val>
          <c:extLst>
            <c:ext xmlns:c16="http://schemas.microsoft.com/office/drawing/2014/chart" uri="{C3380CC4-5D6E-409C-BE32-E72D297353CC}">
              <c16:uniqueId val="{00000002-996E-CC40-8F88-D46077A61963}"/>
            </c:ext>
          </c:extLst>
        </c:ser>
        <c:dLbls>
          <c:showLegendKey val="0"/>
          <c:showVal val="0"/>
          <c:showCatName val="0"/>
          <c:showSerName val="0"/>
          <c:showPercent val="0"/>
          <c:showBubbleSize val="0"/>
        </c:dLbls>
        <c:gapWidth val="150"/>
        <c:axId val="312992175"/>
        <c:axId val="308168559"/>
      </c:barChart>
      <c:lineChart>
        <c:grouping val="standard"/>
        <c:varyColors val="0"/>
        <c:ser>
          <c:idx val="3"/>
          <c:order val="3"/>
          <c:tx>
            <c:strRef>
              <c:f>Sheet2!$E$1</c:f>
              <c:strCache>
                <c:ptCount val="1"/>
                <c:pt idx="0">
                  <c:v>Location Average</c:v>
                </c:pt>
              </c:strCache>
            </c:strRef>
          </c:tx>
          <c:spPr>
            <a:ln w="28575" cap="rnd">
              <a:solidFill>
                <a:srgbClr val="FF0000">
                  <a:alpha val="36456"/>
                </a:srgbClr>
              </a:solidFill>
              <a:miter lim="800000"/>
            </a:ln>
            <a:effectLst/>
          </c:spPr>
          <c:marker>
            <c:symbol val="none"/>
          </c:marker>
          <c:cat>
            <c:strRef>
              <c:f>Sheet2!$A$2:$A$10</c:f>
              <c:strCache>
                <c:ptCount val="9"/>
                <c:pt idx="0">
                  <c:v>Hanwell</c:v>
                </c:pt>
                <c:pt idx="1">
                  <c:v>Clapham South</c:v>
                </c:pt>
                <c:pt idx="2">
                  <c:v>Bushey</c:v>
                </c:pt>
                <c:pt idx="3">
                  <c:v>Wimbledon Village</c:v>
                </c:pt>
                <c:pt idx="4">
                  <c:v>Belgravia</c:v>
                </c:pt>
                <c:pt idx="5">
                  <c:v>Putney Bridge</c:v>
                </c:pt>
                <c:pt idx="6">
                  <c:v>Tower Bridge</c:v>
                </c:pt>
                <c:pt idx="7">
                  <c:v>Liverpool St</c:v>
                </c:pt>
                <c:pt idx="8">
                  <c:v>Esher</c:v>
                </c:pt>
              </c:strCache>
            </c:strRef>
          </c:cat>
          <c:val>
            <c:numRef>
              <c:f>Sheet2!$E$2:$E$10</c:f>
              <c:numCache>
                <c:formatCode>0.00%</c:formatCode>
                <c:ptCount val="9"/>
                <c:pt idx="0">
                  <c:v>0.24162826420890937</c:v>
                </c:pt>
                <c:pt idx="1">
                  <c:v>0.18590668590668591</c:v>
                </c:pt>
                <c:pt idx="2">
                  <c:v>0.16813221500721501</c:v>
                </c:pt>
                <c:pt idx="3">
                  <c:v>0.16402116402116401</c:v>
                </c:pt>
                <c:pt idx="4">
                  <c:v>0.16101617440225036</c:v>
                </c:pt>
                <c:pt idx="5">
                  <c:v>0.14318386016499224</c:v>
                </c:pt>
                <c:pt idx="6">
                  <c:v>0.14275339765535844</c:v>
                </c:pt>
                <c:pt idx="7">
                  <c:v>0.10135467980295566</c:v>
                </c:pt>
                <c:pt idx="8">
                  <c:v>9.4832826747720367E-2</c:v>
                </c:pt>
              </c:numCache>
            </c:numRef>
          </c:val>
          <c:smooth val="1"/>
          <c:extLst>
            <c:ext xmlns:c16="http://schemas.microsoft.com/office/drawing/2014/chart" uri="{C3380CC4-5D6E-409C-BE32-E72D297353CC}">
              <c16:uniqueId val="{00000003-996E-CC40-8F88-D46077A61963}"/>
            </c:ext>
          </c:extLst>
        </c:ser>
        <c:dLbls>
          <c:showLegendKey val="0"/>
          <c:showVal val="0"/>
          <c:showCatName val="0"/>
          <c:showSerName val="0"/>
          <c:showPercent val="0"/>
          <c:showBubbleSize val="0"/>
        </c:dLbls>
        <c:marker val="1"/>
        <c:smooth val="0"/>
        <c:axId val="312992175"/>
        <c:axId val="308168559"/>
      </c:lineChart>
      <c:catAx>
        <c:axId val="31299217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Location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8168559"/>
        <c:crosses val="autoZero"/>
        <c:auto val="1"/>
        <c:lblAlgn val="ctr"/>
        <c:lblOffset val="100"/>
        <c:noMultiLvlLbl val="0"/>
      </c:catAx>
      <c:valAx>
        <c:axId val="3081685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 Show Rate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299217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5">
  <a:schemeClr val="accent5"/>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5</Pages>
  <Words>2129</Words>
  <Characters>12140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Smith</dc:creator>
  <cp:keywords/>
  <dc:description/>
  <cp:lastModifiedBy>James Smith</cp:lastModifiedBy>
  <cp:revision>5</cp:revision>
  <dcterms:created xsi:type="dcterms:W3CDTF">2025-06-17T11:33:00Z</dcterms:created>
  <dcterms:modified xsi:type="dcterms:W3CDTF">2025-06-20T09:37:00Z</dcterms:modified>
</cp:coreProperties>
</file>