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on a page of its own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left"/>
        <w:rPr/>
      </w:pP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left"/>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left"/>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left"/>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2"/>
        </w:numPr>
        <w:spacing w:before="0" w:after="60" w:line="240" w:lineRule="auto"/>
        <w:ind w:left="720" w:hanging="360"/>
        <w:jc w:val="left"/>
      </w:pPr>
      <w:r>
        <w:rPr>
          <w:i w:val="0"/>
          <w:sz w:val="22"/>
          <w:szCs w:val="22"/>
          <w:b w:val="1"/>
          <w:bCs w:val="1"/>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left"/>
      </w:pPr>
      <w:r>
        <w:rPr>
          <w:i w:val="0"/>
          <w:sz w:val="22"/>
          <w:szCs w:val="22"/>
          <w:b w:val="1"/>
          <w:bCs w:val="1"/>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left"/>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left"/>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left"/>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left"/>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left"/>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left"/>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left"/>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left"/>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left"/>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on a page of its own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on a page of its own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left"/>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left"/>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left"/>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left"/>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https://doi.org/10.1016/S0031-3203(00)00059-5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i w:val="0"/>
                <w:b w:val="1"/>
                <w:bCs w:val="1"/>
                <w:sz w:val="20"/>
                <w:szCs w:val="20"/>
              </w:rPr>
              <w:t>Threshold</w:t>
            </w:r>
          </w:p>
        </w:tc>
        <w:tc>
          <w:tcPr>
            <w:tcW w:type="dxa" w:w="2340"/>
            <w:shd w:val="clear" w:color="auto" w:fill="EAD1DC"/>
            <w:vAlign w:val="center"/>
          </w:tcPr>
          <w:p>
            <w:pPr>
              <w:keepNext/>
              <w:keepLines/>
              <w:spacing w:before="20" w:after="20" w:line="240" w:lineRule="auto"/>
              <w:jc w:val="left"/>
            </w:pPr>
            <w:r>
              <w:rPr>
                <w:i w:val="0"/>
                <w:b w:val="1"/>
                <w:bCs w:val="1"/>
                <w:sz w:val="20"/>
                <w:szCs w:val="20"/>
              </w:rPr>
              <w:t>Coverage</w:t>
            </w:r>
          </w:p>
        </w:tc>
        <w:tc>
          <w:tcPr>
            <w:tcW w:type="dxa" w:w="2340"/>
            <w:shd w:val="clear" w:color="auto" w:fill="EAD1DC"/>
            <w:vAlign w:val="center"/>
          </w:tcPr>
          <w:p>
            <w:pPr>
              <w:keepNext/>
              <w:keepLines/>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keepNext/>
              <w:keepLines/>
              <w:spacing w:before="20" w:after="20" w:line="240" w:lineRule="auto"/>
              <w:jc w:val="left"/>
            </w:pPr>
            <w:r>
              <w:rPr>
                <w:i w:val="0"/>
                <w:b w:val="1"/>
                <w:bCs w:val="1"/>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i w:val="0"/>
                <w:b w:val="1"/>
                <w:bCs w:val="1"/>
                <w:sz w:val="20"/>
                <w:szCs w:val="20"/>
              </w:rPr>
              <w:t>Measure</w:t>
            </w:r>
          </w:p>
        </w:tc>
        <w:tc>
          <w:tcPr>
            <w:tcW w:type="dxa" w:w="4680"/>
            <w:shd w:val="clear" w:color="auto" w:fill="EAD1DC"/>
            <w:vAlign w:val="center"/>
          </w:tcPr>
          <w:p>
            <w:pPr>
              <w:keepNext/>
              <w:keepLines/>
              <w:spacing w:before="20" w:after="20" w:line="240" w:lineRule="auto"/>
              <w:jc w:val="left"/>
            </w:pPr>
            <w:r>
              <w:rPr>
                <w:i w:val="0"/>
                <w:b w:val="1"/>
                <w:bCs w:val="1"/>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The confusion matrix on the 464-image test set, repeated from Figure 5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The confusion matrix on the 500-image unseen TrashNet test set, repeated from Figure 10.</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The system architecture, repeated from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00059-5"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