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spacing w:after="160" w:line="278.00000000000006" w:lineRule="auto"/>
        <w:jc w:val="both"/>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spacing w:after="160" w:line="278.00000000000006" w:lineRule="auto"/>
        <w:jc w:val="both"/>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spacing w:after="160" w:line="278.00000000000006" w:lineRule="auto"/>
        <w:jc w:val="both"/>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spacing w:after="160" w:line="278.00000000000006" w:lineRule="auto"/>
        <w:jc w:val="both"/>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Fonts w:ascii="Arial Unicode MS" w:cs="Arial Unicode MS" w:eastAsia="Arial Unicode MS" w:hAnsi="Arial Unicode MS"/>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 xml:space="preserve">To check generalization on additional images captured by the group under different lighting, backgrounds and viewing angles that were not used in training.</w:t>
      </w:r>
    </w:p>
    <w:p w:rsidR="00000000" w:rsidDel="00000000" w:rsidP="00000000" w:rsidRDefault="00000000" w:rsidRPr="00000000" w14:paraId="00000029">
      <w:pPr>
        <w:spacing w:after="120" w:before="360" w:line="240" w:lineRule="auto"/>
        <w:jc w:val="both"/>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 xml:space="preserve">The training images come from one landfill facility and one camera setup, so accuracy may drop on images with very different backgrounds, lighting or camera quality.</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spacing w:after="120" w:before="360" w:line="240" w:lineRule="auto"/>
        <w:jc w:val="both"/>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spacing w:after="120" w:before="480" w:line="240" w:lineRule="auto"/>
        <w:jc w:val="both"/>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spacing w:after="120" w:before="360" w:line="240" w:lineRule="auto"/>
        <w:jc w:val="both"/>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spacing w:after="120" w:before="360" w:line="240" w:lineRule="auto"/>
        <w:jc w:val="both"/>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and ReduceLROnPlateau watch validation loss; in the completed run neither stage stopped before its configured epoch budget (12/12, then 10/10), but EarlyStopping(restore_best_weights=True) still restores the best validation-loss checkpoint when training ends;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optional cell for group-captured unseen-situation images is included in the notebook but was not executed before this report (no photo set was prepared yet); see Section 6.5 for the real-world testing that was actually performed.</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spacing w:after="120" w:before="360" w:line="240" w:lineRule="auto"/>
        <w:jc w:val="both"/>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Laptop/PC (Midterm); Arduino/ESP32 planned for Final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Runs preprocessing and model inference; later sends motor commands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Robot Chassis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4WD chassis kit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Mobile platform for sorting; not needed for Midterm demo</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Motor Driver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L298N dual H-bridge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Drives the DC motors from controller signals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Motors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4 × DC gear motors (Final stage)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Moves the robot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Powers the processing unit and, in Final, the motors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Live demonstration and capture of unseen test images</w:t>
            </w:r>
          </w:p>
        </w:tc>
      </w:tr>
    </w:tbl>
    <w:p w:rsidR="00000000" w:rsidDel="00000000" w:rsidP="00000000" w:rsidRDefault="00000000" w:rsidRPr="00000000" w14:paraId="00000083">
      <w:pPr>
        <w:spacing w:after="240" w:before="240" w:line="240" w:lineRule="auto"/>
        <w:jc w:val="both"/>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Arduino IDE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Reserved for Final motor-control programming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jc w:val="both"/>
      </w:pPr>
      <w:r>
        <w:rPr>
          <w:b/>
          <w:sz w:val="46"/>
        </w:rPr>
        <w:t>3. DATASET</w:t>
      </w:r>
    </w:p>
    <w:p>
      <w:pPr>
        <w:jc w:val="both"/>
      </w:pPr>
      <w:r>
        <w:rPr>
          <w:b w:val="0"/>
          <w:sz w:val="32"/>
        </w:rPr>
        <w:t>3.1 Dataset Description</w:t>
      </w:r>
    </w:p>
    <w:p>
      <w:pPr>
        <w:jc w:val="both"/>
      </w:pPr>
      <w:r>
        <w:t>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jc w:val="both"/>
      </w:pPr>
      <w:r>
        <w:rPr>
          <w:b w:val="0"/>
          <w:sz w:val="32"/>
        </w:rPr>
        <w:t>3.2 Target Classes / Categories</w:t>
      </w:r>
    </w:p>
    <w:p>
      <w:pPr>
        <w:jc w:val="both"/>
      </w:pPr>
      <w:r>
        <w:t>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0"/>
                <w:bCs w:val="1"/>
                <w:rtl w:val="0"/>
              </w:rPr>
              <w:t>3,092</w:t>
            </w:r>
          </w:p>
        </w:tc>
      </w:tr>
    </w:tbl>
    <w:p>
      <w:pPr>
        <w:jc w:val="both"/>
      </w:pPr>
      <w:r>
        <w:rPr>
          <w:b w:val="0"/>
          <w:sz w:val="32"/>
        </w:rPr>
        <w:t>3.3 Dataset Collection and Source</w:t>
      </w:r>
    </w:p>
    <w:p>
      <w:pPr>
        <w:jc w:val="both"/>
      </w:pPr>
      <w:r>
        <w:t>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jc w:val="both"/>
      </w:pPr>
      <w:r>
        <w:rPr>
          <w:b w:val="0"/>
          <w:sz w:val="32"/>
        </w:rPr>
        <w:t>3.4 Dataset Distribution</w:t>
      </w:r>
    </w:p>
    <w:p>
      <w:pPr>
        <w:jc w:val="both"/>
      </w:pPr>
      <w:r>
        <w:t>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jc w:val="cente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jc w:val="center"/>
      </w:pPr>
      <w:r>
        <w:rPr>
          <w:b/>
        </w:rPr>
        <w:t>Figure 2. Sample images from each of the 5 RealWaste classes used in this project.</w:t>
      </w:r>
    </w:p>
    <w:p>
      <w:pPr>
        <w:jc w:val="both"/>
      </w:pPr>
      <w:r>
        <w:rPr>
          <w:b w:val="0"/>
          <w:sz w:val="32"/>
        </w:rPr>
        <w:t>3.5 Training, Validation, and Testing Sets</w:t>
      </w:r>
    </w:p>
    <w:p>
      <w:pPr>
        <w:jc w:val="both"/>
      </w:pPr>
      <w:r>
        <w:t>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jc w:val="both"/>
      </w:pPr>
      <w:r>
        <w:rPr>
          <w:b/>
        </w:rPr>
        <w:t xml:space="preserve">Training set (2,164 images). </w:t>
      </w:r>
      <w:r>
        <w:t>used to update the model's weights during both training stages.</w:t>
      </w:r>
    </w:p>
    <w:p>
      <w:pPr>
        <w:jc w:val="both"/>
      </w:pPr>
      <w:r>
        <w:rPr>
          <w:b/>
        </w:rPr>
        <w:t xml:space="preserve">Validation set (464 images). </w:t>
      </w:r>
      <w:r>
        <w:t>used only to monitor validation loss for EarlyStopping / ReduceLROnPlateau; never used to update weights directly.</w:t>
      </w:r>
    </w:p>
    <w:p>
      <w:pPr>
        <w:jc w:val="both"/>
      </w:pPr>
      <w:r>
        <w:rPr>
          <w:b/>
        </w:rPr>
        <w:t xml:space="preserve">Testing set (464 images). </w:t>
      </w:r>
      <w:r>
        <w:t>held out completely and evaluated exactly once, after training is finished, to report the accuracy and other metrics in Section 6.</w:t>
      </w:r>
    </w:p>
    <w:p>
      <w:pPr>
        <w:jc w:val="both"/>
      </w:pPr>
      <w:r>
        <w:rPr>
          <w:b w:val="0"/>
          <w:sz w:val="32"/>
        </w:rPr>
        <w:t>3.6 Dataset Preparation and Preprocessing</w:t>
      </w:r>
    </w:p>
    <w:p>
      <w:pPr>
        <w:jc w:val="both"/>
      </w:pPr>
      <w:r>
        <w:t>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jc w:val="cente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jc w:val="center"/>
      </w:pPr>
      <w:r>
        <w:rPr>
          <w:b/>
        </w:rPr>
        <w:t>Figure 3. One training image (left) and five randomly augmented versions used only during training.</w:t>
      </w:r>
    </w:p>
    <w:p>
      <w:pPr>
        <w:jc w:val="both"/>
      </w:pPr>
      <w:r>
        <w:rPr>
          <w:b/>
          <w:sz w:val="46"/>
        </w:rPr>
        <w:t>4. COMPUTER VISION METHODOLOGY</w:t>
      </w:r>
    </w:p>
    <w:p>
      <w:pPr>
        <w:jc w:val="both"/>
      </w:pPr>
      <w:r>
        <w:rPr>
          <w:b w:val="0"/>
          <w:sz w:val="32"/>
        </w:rPr>
        <w:t>4.1 Computer Vision Approach</w:t>
      </w:r>
    </w:p>
    <w:p>
      <w:pPr>
        <w:jc w:val="both"/>
      </w:pPr>
      <w:r>
        <w:t>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 and leaves room for the Final stage to run inference on more constrained hardware alongside motor control.</w:t>
      </w:r>
    </w:p>
    <w:p>
      <w:pPr>
        <w:jc w:val="both"/>
      </w:pPr>
      <w:r>
        <w:rPr>
          <w:b w:val="0"/>
          <w:sz w:val="32"/>
        </w:rPr>
        <w:t>4.2 Image Processing / Preprocessing</w:t>
      </w:r>
    </w:p>
    <w:p>
      <w:pPr>
        <w:jc w:val="both"/>
      </w:pPr>
      <w:r>
        <w:t>See Section 3.6 for the full preprocessing pipeline (resize to 224×224, RGB decoding, in-model rescaling to [-1, 1], training-only augmentation). The same resize-and-decode steps are applied identically at training, evaluation, and demo (recognize()) time, using OpenCV (cv2.cvtColor + cv2.resize) instead of tf.image for single images/frames so the demo function can run directly on an image path or a live camera frame.</w:t>
      </w:r>
    </w:p>
    <w:p>
      <w:pPr>
        <w:jc w:val="both"/>
      </w:pPr>
      <w:r>
        <w:rPr>
          <w:b w:val="0"/>
          <w:sz w:val="32"/>
        </w:rPr>
        <w:t>4.3 Model / Algorithm</w:t>
      </w:r>
    </w:p>
    <w:p>
      <w:pPr>
        <w:jc w:val="both"/>
      </w:pPr>
      <w:r>
        <w:t>The model (build_model() in the notebook) is a MobileNetV2 backbone (keras.applications.MobileNetV2, ImageNet weights, include_top=False, 224×224×3 input) used as a feature extractor, followed by:</w:t>
      </w:r>
    </w:p>
    <w:p>
      <w:pPr>
        <w:jc w:val="both"/>
      </w:pPr>
      <w:r>
        <w:rPr>
          <w:b/>
        </w:rPr>
        <w:t xml:space="preserve">GlobalAveragePooling2D: </w:t>
      </w:r>
      <w:r>
        <w:t>collapses the backbone's feature maps to one vector per image.</w:t>
      </w:r>
    </w:p>
    <w:p>
      <w:pPr>
        <w:jc w:val="both"/>
      </w:pPr>
      <w:r>
        <w:rPr>
          <w:b/>
        </w:rPr>
        <w:t xml:space="preserve">Dropout(0.3): </w:t>
      </w:r>
      <w:r>
        <w:t>randomly zeroes 30% of the pooled features during training, to reduce overfitting.</w:t>
      </w:r>
    </w:p>
    <w:p>
      <w:pPr>
        <w:jc w:val="both"/>
      </w:pPr>
      <w:r>
        <w:rPr>
          <w:b/>
        </w:rPr>
        <w:t xml:space="preserve">Dense(5, activation='softmax'): </w:t>
      </w:r>
      <w:r>
        <w:t>the classification head producing a probability for each of the 5 classes.</w:t>
      </w:r>
    </w:p>
    <w:p>
      <w:pPr>
        <w:jc w:val="both"/>
      </w:pPr>
      <w:r>
        <w:rPr>
          <w:b w:val="0"/>
          <w:sz w:val="32"/>
        </w:rPr>
        <w:t>4.4 Model Training / Development</w:t>
      </w:r>
    </w:p>
    <w:p>
      <w:pPr>
        <w:jc w:val="both"/>
      </w:pPr>
      <w:r>
        <w:t>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Epochs (ran/budget)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End val_accuracy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End val_loss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12 / 12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81.68%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0.4679</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10 / 10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1e-5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84.48%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0.3822</w:t>
            </w:r>
          </w:p>
        </w:tc>
      </w:tr>
    </w:tbl>
    <w:p>
      <w:pPr>
        <w:jc w:val="both"/>
      </w:pPr>
      <w:r>
        <w:t>Neither stage triggered EarlyStopping before its budget (both ran the full configured epochs). Because EarlyStopping is configured with restore_best_weights=True, the weights actually kept at the end of Stage 2 are from the best validation-loss epoch, epoch 8 (val_accuracy 85.34%, val_loss 0.3768), not the numerically last epoch 10 shown above. ReduceLROnPlateau (factor 0.5, patience 2) also fired once in Stage 1 (epoch 11).</w:t>
      </w:r>
    </w:p>
    <w:p>
      <w:pPr>
        <w:jc w:val="center"/>
      </w:pPr>
      <w:r>
        <w:drawing>
          <wp:inline>
            <wp:extent cx="5029200" cy="1565016"/>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029200" cy="1565016"/>
                    </a:xfrm>
                    <a:prstGeom prst="rect"/>
                  </pic:spPr>
                </pic:pic>
              </a:graphicData>
            </a:graphic>
          </wp:inline>
        </w:drawing>
      </w:r>
    </w:p>
    <w:p>
      <w:pPr>
        <w:jc w:val="center"/>
      </w:pPr>
      <w:r>
        <w:rPr>
          <w:b/>
        </w:rPr>
        <w:t>Figure 4. Training/validation accuracy and loss across both stages (dashed line marks the start of fine-tuning).</w:t>
      </w:r>
    </w:p>
    <w:p>
      <w:pPr>
        <w:jc w:val="both"/>
      </w:pPr>
      <w:r>
        <w:rPr>
          <w:b w:val="0"/>
          <w:sz w:val="32"/>
        </w:rPr>
        <w:t>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b w:val="0"/>
                <w:rtl w:val="0"/>
              </w:rPr>
              <w:t>used for the split and all shuffling</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b w:val="0"/>
                <w:rtl w:val="0"/>
              </w:rPr>
              <w:t>Pre-trained weights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b w:val="0"/>
                <w:rtl w:val="0"/>
              </w:rPr>
              <w:t>ImageNet</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b w:val="0"/>
                <w:rtl w:val="0"/>
              </w:rPr>
              <w:t>keras.applications.MobileNetV2</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Fine-tuned layers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last 40 layers of the backbone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t>BatchNorm layers kept frozen</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Class weighting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sklearn compute_class_weight('balanced')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applied in both training stages</w:t>
            </w:r>
          </w:p>
        </w:tc>
      </w:tr>
      <w:tr>
        <w:tc>
          <w:tcPr>
            <w:tcW w:type="dxa" w:w="1935"/>
          </w:tcPr>
          <w:p>
            <w:r>
              <w:rPr>
                <w:b w:val="0"/>
              </w:rPr>
              <w:t>Confidence threshold</w:t>
            </w:r>
          </w:p>
        </w:tc>
        <w:tc>
          <w:tcPr>
            <w:tcW w:type="dxa" w:w="3615"/>
          </w:tcPr>
          <w:p>
            <w:r>
              <w:rPr>
                <w:b w:val="0"/>
              </w:rPr>
              <w:t>0.60</w:t>
            </w:r>
          </w:p>
        </w:tc>
        <w:tc>
          <w:tcPr>
            <w:tcW w:type="dxa" w:w="4245"/>
          </w:tcPr>
          <w:p>
            <w:r>
              <w:rPr>
                <w:b w:val="0"/>
              </w:rPr>
              <w:t>predictions below this are shown as “Uncertain”</w:t>
            </w:r>
          </w:p>
        </w:tc>
      </w:tr>
    </w:tbl>
    <w:p>
      <w:pPr>
        <w:jc w:val="both"/>
      </w:pPr>
      <w:r>
        <w:rPr>
          <w:b w:val="0"/>
          <w:sz w:val="32"/>
        </w:rPr>
        <w:t>4.6 Detection / Recognition Process</w:t>
      </w:r>
    </w:p>
    <w:p>
      <w:pPr>
        <w:jc w:val="both"/>
      </w:pPr>
      <w:r>
        <w:t>Camera Frame / Image → BGR→RGB conversion → resize to 224×224 (cv2.INTER_AREA) → model.predict() → take the class with the highest softmax probability → if that probability is ≥ 0.60, show the class label and confidence; otherwise show “Uncertain”, and draw the result as a colored border and text banner on the output image (Section 5.3).</w:t>
      </w:r>
    </w:p>
    <w:p>
      <w:pPr>
        <w:jc w:val="both"/>
      </w:pPr>
      <w:r>
        <w:rPr>
          <w:b/>
          <w:sz w:val="46"/>
        </w:rPr>
        <w:t>5. SYSTEM IMPLEMENTATION</w:t>
      </w:r>
    </w:p>
    <w:p>
      <w:pPr>
        <w:jc w:val="both"/>
      </w:pPr>
      <w:r>
        <w:rPr>
          <w:b w:val="0"/>
          <w:sz w:val="32"/>
        </w:rPr>
        <w:t>5.1 Computer Vision Implementation</w:t>
      </w:r>
    </w:p>
    <w:p>
      <w:pPr>
        <w:jc w:val="both"/>
      </w:pPr>
      <w:r>
        <w:t>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a prediction made one way matches the other.</w:t>
      </w:r>
    </w:p>
    <w:p>
      <w:pPr>
        <w:jc w:val="both"/>
      </w:pPr>
      <w:r>
        <w:rPr>
          <w:b w:val="0"/>
          <w:sz w:val="32"/>
        </w:rPr>
        <w:t>5.2 Input and Camera Processing</w:t>
      </w:r>
    </w:p>
    <w:p>
      <w:pPr>
        <w:jc w:val="both"/>
      </w:pPr>
      <w:r>
        <w:t>Three input paths are demonstrated: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jc w:val="both"/>
      </w:pPr>
      <w:r>
        <w:rPr>
          <w:b w:val="0"/>
          <w:sz w:val="32"/>
        </w:rPr>
        <w:t>5.3 Visual Output</w:t>
      </w:r>
    </w:p>
    <w:p>
      <w:pPr>
        <w:jc w:val="both"/>
      </w:pPr>
      <w:r>
        <w:t>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jc w:val="center"/>
      </w:pPr>
      <w:r>
        <w:drawing>
          <wp:inline>
            <wp:extent cx="2377440" cy="2377440"/>
            <wp:docPr id="5" name="Picture 5"/>
            <wp:cNvGraphicFramePr>
              <a:graphicFrameLocks noChangeAspect="1"/>
            </wp:cNvGraphicFramePr>
            <a:graphic>
              <a:graphicData uri="http://schemas.openxmlformats.org/drawingml/2006/picture">
                <pic:pic>
                  <pic:nvPicPr>
                    <pic:cNvPr id="0" name="demo_upload.png"/>
                    <pic:cNvPicPr/>
                  </pic:nvPicPr>
                  <pic:blipFill>
                    <a:blip r:embed="rId12"/>
                    <a:stretch>
                      <a:fillRect/>
                    </a:stretch>
                  </pic:blipFill>
                  <pic:spPr>
                    <a:xfrm>
                      <a:off x="0" y="0"/>
                      <a:ext cx="2377440" cy="2377440"/>
                    </a:xfrm>
                    <a:prstGeom prst="rect"/>
                  </pic:spPr>
                </pic:pic>
              </a:graphicData>
            </a:graphic>
          </wp:inline>
        </w:drawing>
      </w:r>
    </w:p>
    <w:p>
      <w:pPr>
        <w:jc w:val="center"/>
      </w:pPr>
      <w:r>
        <w:rPr>
          <w:b/>
        </w:rPr>
        <w:t>Figure 5. Demo output on a group-uploaded photo (plastic-bottle.jpg): predicted Plastic, 62.4% confidence.</w:t>
      </w:r>
    </w:p>
    <w:p>
      <w:pPr>
        <w:jc w:val="center"/>
      </w:pPr>
      <w:r>
        <w:drawing>
          <wp:inline>
            <wp:extent cx="2377440" cy="1819258"/>
            <wp:docPr id="6" name="Picture 6"/>
            <wp:cNvGraphicFramePr>
              <a:graphicFrameLocks noChangeAspect="1"/>
            </wp:cNvGraphicFramePr>
            <a:graphic>
              <a:graphicData uri="http://schemas.openxmlformats.org/drawingml/2006/picture">
                <pic:pic>
                  <pic:nvPicPr>
                    <pic:cNvPr id="0" name="demo_webcam.png"/>
                    <pic:cNvPicPr/>
                  </pic:nvPicPr>
                  <pic:blipFill>
                    <a:blip r:embed="rId13"/>
                    <a:stretch>
                      <a:fillRect/>
                    </a:stretch>
                  </pic:blipFill>
                  <pic:spPr>
                    <a:xfrm>
                      <a:off x="0" y="0"/>
                      <a:ext cx="2377440" cy="1819258"/>
                    </a:xfrm>
                    <a:prstGeom prst="rect"/>
                  </pic:spPr>
                </pic:pic>
              </a:graphicData>
            </a:graphic>
          </wp:inline>
        </w:drawing>
      </w:r>
    </w:p>
    <w:p>
      <w:pPr>
        <w:jc w:val="center"/>
      </w:pPr>
      <w:r>
        <w:rPr>
          <w:b/>
        </w:rPr>
        <w:t>Figure 6. Demo output on a live Colab-webcam snapshot: predicted Metal, 75.7% confidence (true label not recorded for this frame).</w:t>
      </w:r>
    </w:p>
    <w:p>
      <w:pPr>
        <w:jc w:val="both"/>
      </w:pPr>
      <w:r>
        <w:rPr>
          <w:b/>
          <w:sz w:val="46"/>
        </w:rPr>
        <w:t>6. TESTING AND EVALUATION</w:t>
      </w:r>
    </w:p>
    <w:p>
      <w:pPr>
        <w:jc w:val="both"/>
      </w:pPr>
      <w:r>
        <w:rPr>
          <w:b w:val="0"/>
          <w:sz w:val="32"/>
        </w:rPr>
        <w:t>6.1 Computer Vision Testing</w:t>
      </w:r>
    </w:p>
    <w:p>
      <w:pPr>
        <w:jc w:val="both"/>
      </w:pPr>
      <w:r>
        <w:t>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jc w:val="both"/>
      </w:pPr>
      <w:r>
        <w:rPr>
          <w:b w:val="0"/>
          <w:sz w:val="32"/>
        </w:rPr>
        <w:t>6.2 Evaluation Metrics</w:t>
      </w:r>
    </w:p>
    <w:p>
      <w:pPr>
        <w:jc w:val="both"/>
      </w:pPr>
      <w:r>
        <w:t>Overall accuracy, per-class precision/recall/F1-score (sklearn classification_report), macro and weighted F1, and a confusion matrix (counts and row-normalized) are computed. These are the metrics the Midterm requirements call for a classification task (accuracy metrics and a confusion matrix).</w:t>
      </w:r>
    </w:p>
    <w:p>
      <w:pPr>
        <w:jc w:val="both"/>
      </w:pPr>
      <w:r>
        <w:rPr>
          <w:b w:val="0"/>
          <w:sz w:val="32"/>
        </w:rPr>
        <w:t>6.3 Training, Validation, and Testing Results</w:t>
      </w:r>
    </w:p>
    <w:p>
      <w:pPr>
        <w:jc w:val="both"/>
      </w:pPr>
      <w:r>
        <w:t>Final test-set results from the executed notebook (Step 6):</w:t>
      </w:r>
    </w:p>
    <w:p>
      <w:pPr>
        <w:jc w:val="both"/>
      </w:pPr>
      <w:r>
        <w:rPr>
          <w:b/>
        </w:rPr>
        <w:t xml:space="preserve">Test accuracy: 88.15% </w:t>
      </w:r>
      <w:r>
        <w:t>(409 of 464 test images correctly classified).</w:t>
      </w:r>
    </w:p>
    <w:p>
      <w:pPr>
        <w:jc w:val="both"/>
      </w:pPr>
      <w:r>
        <w:rPr>
          <w:b/>
        </w:rPr>
        <w:t>Macro F1: 0.8813</w:t>
      </w:r>
      <w:r>
        <w:t xml:space="preserve"> | Weighted F1: 0.8812.</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0.8939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0.8741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0.8615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0.8750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0.8974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0.8898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0.8372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0.9600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0.8944</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b w:val="0"/>
                <w:rtl w:val="0"/>
              </w:rPr>
              <w:t>0.8731</w:t>
            </w:r>
          </w:p>
        </w:tc>
      </w:tr>
    </w:tbl>
    <w:p>
      <w:pPr>
        <w:jc w:val="both"/>
      </w:pPr>
      <w:r>
        <w:t>This falls short of the 90% test-accuracy objective stated in Section 1.3; the gap and likely causes are discussed in Section 7.</w:t>
      </w:r>
    </w:p>
    <w:p>
      <w:pPr>
        <w:jc w:val="center"/>
      </w:pPr>
      <w:r>
        <w:drawing>
          <wp:inline>
            <wp:extent cx="5669280" cy="2531284"/>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5669280" cy="2531284"/>
                    </a:xfrm>
                    <a:prstGeom prst="rect"/>
                  </pic:spPr>
                </pic:pic>
              </a:graphicData>
            </a:graphic>
          </wp:inline>
        </w:drawing>
      </w:r>
    </w:p>
    <w:p>
      <w:pPr>
        <w:jc w:val="center"/>
      </w:pPr>
      <w:r>
        <w:rPr>
          <w:b/>
        </w:rPr>
        <w:t>Figure 7. Confusion matrix on the 464-image test set (counts, left; row-normalized, right).</w:t>
      </w:r>
    </w:p>
    <w:p>
      <w:pPr>
        <w:jc w:val="both"/>
      </w:pPr>
      <w:r>
        <w:t>Most common mistakes (true → predicted : count): Metal → Plastic (9), Plastic → Metal (9), Cardboard → Paper (7), Plastic → Glass (7), Metal → Paper (3).</w:t>
      </w:r>
    </w:p>
    <w:p>
      <w:pPr>
        <w:jc w:val="both"/>
      </w:pPr>
      <w:r>
        <w:rPr>
          <w:b w:val="0"/>
          <w:sz w:val="32"/>
        </w:rPr>
        <w:t>6.4 Sample Detection / Recognition Results</w:t>
      </w:r>
    </w:p>
    <w:p>
      <w:pPr>
        <w:jc w:val="both"/>
      </w:pPr>
      <w:r>
        <w:t>55 of the 464 test images (11.9%) were misclassified. Figure 8 shows 10 of these, each labeled with the true class, the predicted class, and the model's confidence in that (wrong) prediction.</w:t>
      </w:r>
    </w:p>
    <w:p>
      <w:pPr>
        <w:jc w:val="center"/>
      </w:pPr>
      <w:r>
        <w:drawing>
          <wp:inline>
            <wp:extent cx="5669280" cy="2497912"/>
            <wp:docPr id="8" name="Picture 8"/>
            <wp:cNvGraphicFramePr>
              <a:graphicFrameLocks noChangeAspect="1"/>
            </wp:cNvGraphicFramePr>
            <a:graphic>
              <a:graphicData uri="http://schemas.openxmlformats.org/drawingml/2006/picture">
                <pic:pic>
                  <pic:nvPicPr>
                    <pic:cNvPr id="0" name="misclassified_examples.png"/>
                    <pic:cNvPicPr/>
                  </pic:nvPicPr>
                  <pic:blipFill>
                    <a:blip r:embed="rId15"/>
                    <a:stretch>
                      <a:fillRect/>
                    </a:stretch>
                  </pic:blipFill>
                  <pic:spPr>
                    <a:xfrm>
                      <a:off x="0" y="0"/>
                      <a:ext cx="5669280" cy="2497912"/>
                    </a:xfrm>
                    <a:prstGeom prst="rect"/>
                  </pic:spPr>
                </pic:pic>
              </a:graphicData>
            </a:graphic>
          </wp:inline>
        </w:drawing>
      </w:r>
    </w:p>
    <w:p>
      <w:pPr>
        <w:jc w:val="center"/>
      </w:pPr>
      <w:r>
        <w:rPr>
          <w:b/>
        </w:rPr>
        <w:t>Figure 8. 10 of the 55 misclassified test images, with true/predicted labels and confidence.</w:t>
      </w:r>
    </w:p>
    <w:p>
      <w:pPr>
        <w:jc w:val="both"/>
      </w:pPr>
      <w:r>
        <w:rPr>
          <w:b w:val="0"/>
          <w:sz w:val="32"/>
        </w:rPr>
        <w:t>6.5 Unseen Situations</w:t>
      </w:r>
    </w:p>
    <w:p>
      <w:pPr>
        <w:jc w:val="both"/>
      </w:pPr>
      <w:r>
        <w:t>The notebook includes an optional cell (Step 7c) to measure accuracy on a group-captured set of truly unseen photos (different lighting, backgrounds, and angles, with ground-truth labels). This cell was not run in the submitted notebook: no photo set (my_photos.zip) had been prepared, so there is currently no measured unseen-image accuracy. The real-world testing that was actually performed is two single, informal examples: a Colab file upload (a photo of a plastic bottle, predicted Plastic at 62.4% confidence, Figure 5) and one live webcam snapshot (predicted Metal at 75.7% confidence; the true class of that frame was not recorded, so this example cannot be scored as correct or incorrect). Both confidences are noticeably lower than the 88.15% test accuracy, which is expected since neither image comes from the RealWaste camera/lighting conditions the model was trained on. Running Step 7c on a real group-captured photo set is the clearest remaining gap before the Final stage and is listed as a recommendation in Section 9.2.</w:t>
      </w:r>
    </w:p>
    <w:p>
      <w:pPr>
        <w:jc w:val="both"/>
      </w:pPr>
      <w:r>
        <w:rPr>
          <w:b/>
          <w:sz w:val="46"/>
        </w:rPr>
        <w:t>7. RESULTS AND DISCUSSION</w:t>
      </w:r>
    </w:p>
    <w:p>
      <w:pPr>
        <w:jc w:val="both"/>
      </w:pPr>
      <w:r>
        <w:rPr>
          <w:b w:val="0"/>
          <w:sz w:val="32"/>
        </w:rPr>
        <w:t>7.1 Computer Vision Results</w:t>
      </w:r>
    </w:p>
    <w:p>
      <w:pPr>
        <w:jc w:val="both"/>
      </w:pPr>
      <w:r>
        <w:t>The MobileNetV2 transfer-learning model reaches 88.15% accuracy on the held-out RealWaste test set (5 classes, 464 images), with macro F1 0.8813. Fine-tuning the last 40 backbone layers (Stage 2) raised validation accuracy from 81.68% (end of Stage 1, frozen backbone) to 84.48%, a +2.8 percentage-point improvement, confirming that allowing the backbone to adapt to waste images, rather than using it purely as a fixed feature extractor, helps on this dataset.</w:t>
      </w:r>
    </w:p>
    <w:p>
      <w:pPr>
        <w:jc w:val="both"/>
      </w:pPr>
      <w:r>
        <w:rPr>
          <w:b w:val="0"/>
          <w:sz w:val="32"/>
        </w:rPr>
        <w:t>7.2 Analysis of Results</w:t>
      </w:r>
    </w:p>
    <w:p>
      <w:pPr>
        <w:jc w:val="both"/>
      </w:pPr>
      <w:r>
        <w:t>Paper (recall 96.0%) and Metal (precision 89.7%) are the most reliably recognized classes. Plastic and Metal are the most confused pair in both directions (9 Metal→Plastic and 9 Plastic→Metal mistakes out of 464 test images), which is consistent with both classes often containing shiny, reflective, or clear surfaces under the dataset's landfill lighting. Cardboard is most often confused with Paper (7 mistakes), which share similar color and fibrous texture, exactly the confusion the group anticipated in Section 1.4. The 88.15% result is 1.85 percentage points below the 90% objective set in Section 1.3; given that the dataset is imbalanced and visually ambiguous for several class pairs, the group considers this a reasonable first result rather than a failed one, with room to close the gap through the recommendations in Section 9.2 rather than a change of approach.</w:t>
      </w:r>
    </w:p>
    <w:p>
      <w:pPr>
        <w:jc w:val="both"/>
      </w:pPr>
      <w:r>
        <w:rPr>
          <w:b w:val="0"/>
          <w:sz w:val="32"/>
        </w:rPr>
        <w:t>7.3 Errors and Failure Cases</w:t>
      </w:r>
    </w:p>
    <w:p>
      <w:pPr>
        <w:jc w:val="both"/>
      </w:pPr>
      <w:r>
        <w:t>The dominant failure mode is confusion between visually similar material classes (Metal↔Plastic, Cardboard→Paper, Plastic→Glass; Section 6.3), not random or unexplainable errors. Figure 8 (Section 6.4) shows representative misclassified examples. The two single real-world demo examples in Section 6.5 also show lower confidence (62.4% and 75.7%) than the in-distribution test accuracy, suggesting the model is somewhat less certain on images that do not share RealWaste's camera and lighting conditions, though with only two informal examples and no ground truth for one of them, this cannot yet be treated as a measured generalization gap.</w:t>
      </w:r>
    </w:p>
    <w:p>
      <w:pPr>
        <w:jc w:val="both"/>
      </w:pPr>
      <w:r>
        <w:t>The current limitations follow from the same causes. All training images come from a single landfill facility and camera setup, so performance on a different camera, background, or lighting is not yet measured; the Step 7c unseen-image evaluation was prepared but not run before this report (Section 6.5).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w:t>
      </w:r>
    </w:p>
    <w:p>
      <w:pPr>
        <w:jc w:val="both"/>
      </w:pPr>
      <w:r>
        <w:rPr>
          <w:b/>
          <w:sz w:val="46"/>
        </w:rPr>
        <w:t>9. CONCLUSION AND RECOMMENDATIONS</w:t>
      </w:r>
    </w:p>
    <w:p>
      <w:pPr>
        <w:jc w:val="both"/>
      </w:pPr>
      <w:r>
        <w:rPr>
          <w:b w:val="0"/>
          <w:sz w:val="32"/>
        </w:rPr>
        <w:t>9.1 Conclusion</w:t>
      </w:r>
    </w:p>
    <w:p>
      <w:pPr>
        <w:jc w:val="both"/>
      </w:pPr>
      <w: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88.15% (macro F1 0.8813), short of the group's internal 90% target but demonstrating a working SEE → RECOGNIZE pipeline with a visible label and confidence output, ready to drive the Final stage's decision logic.</w:t>
      </w:r>
    </w:p>
    <w:p>
      <w:pPr>
        <w:jc w:val="both"/>
      </w:pPr>
      <w:r>
        <w:rPr>
          <w:b w:val="0"/>
          <w:sz w:val="32"/>
        </w:rPr>
        <w:t>9.2 Recommendations</w:t>
      </w:r>
    </w:p>
    <w:p>
      <w:pPr>
        <w:jc w:val="both"/>
      </w:pPr>
      <w:r>
        <w:rPr>
          <w:b/>
        </w:rPr>
        <w:t xml:space="preserve">Run the unseen-photo evaluation (Step 7c). </w:t>
      </w:r>
      <w:r>
        <w:t>Capture a small set of group photos per class under different lighting/backgrounds and run the already-written my_photos.zip evaluation cell to get a measured unseen-image accuracy before the Final stage, rather than relying on the two informal single-image examples in Section 6.5.</w:t>
      </w:r>
    </w:p>
    <w:p>
      <w:pPr>
        <w:jc w:val="both"/>
      </w:pPr>
      <w:r>
        <w:rPr>
          <w:b/>
        </w:rPr>
        <w:t xml:space="preserve">Target the Metal/Plastic and Cardboard/Paper confusions. </w:t>
      </w:r>
      <w:r>
        <w:t>Consider additional training images or augmentation that emphasizes the cues that distinguish these pairs (e.g., surface reflectance, texture) to close the gap to the 90% objective.</w:t>
      </w:r>
    </w:p>
    <w:p>
      <w:pPr>
        <w:jc w:val="both"/>
      </w:pPr>
      <w:r>
        <w:rPr>
          <w:b/>
        </w:rPr>
        <w:t xml:space="preserve">Prepare for Final-stage integration. </w:t>
      </w:r>
      <w:r>
        <w:t>Robot hardware, the SEE → DECIDE → ACT decision/motor-control logic, and the Test 1 (Figure-8 line tracking) and Test 2 (Object Sorting) demonstrations are not yet started and are explicitly out of scope for this Midterm submission.</w:t>
      </w:r>
    </w:p>
    <w:p w:rsidR="00000000" w:rsidDel="00000000" w:rsidP="00000000" w:rsidRDefault="00000000" w:rsidRPr="00000000" w14:paraId="000000AD">
      <w:pPr>
        <w:spacing w:after="120" w:before="480" w:line="240" w:lineRule="auto"/>
        <w:jc w:val="both"/>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