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54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54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54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54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54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54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A full-page version of Figure 1 is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spacing w:before="0" w:after="140" w:line="240" w:lineRule="auto"/>
        <w:jc w:val="both"/>
        <w:rPr/>
      </w:pPr>
      <w:r w:rsidDel="00000000" w:rsidR="00000000" w:rsidRPr="00000000">
        <w:rPr>
          <w:rtl w:val="0"/>
          <w:sz w:val="22"/>
          <w:szCs w:val="22"/>
        </w:rPr>
        <w:t xml:space="preserve">1.</w:t>
        <w:tab/>
      </w: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before="0" w:after="140" w:line="240" w:lineRule="auto"/>
        <w:jc w:val="both"/>
        <w:rPr/>
      </w:pPr>
      <w:r w:rsidDel="00000000" w:rsidR="00000000" w:rsidRPr="00000000">
        <w:rPr>
          <w:rtl w:val="0"/>
          <w:sz w:val="22"/>
          <w:szCs w:val="22"/>
        </w:rPr>
        <w:t xml:space="preserve">2.</w:t>
        <w:tab/>
      </w: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spacing w:before="0" w:after="140" w:line="240" w:lineRule="auto"/>
        <w:jc w:val="both"/>
        <w:rPr/>
      </w:pPr>
      <w:r w:rsidDel="00000000" w:rsidR="00000000" w:rsidRPr="00000000">
        <w:rPr>
          <w:rtl w:val="0"/>
          <w:sz w:val="22"/>
          <w:szCs w:val="22"/>
        </w:rPr>
        <w:t xml:space="preserve">3.</w:t>
        <w:tab/>
      </w: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spacing w:before="0" w:after="140" w:line="240" w:lineRule="auto"/>
        <w:jc w:val="both"/>
        <w:rPr/>
      </w:pPr>
      <w:r w:rsidDel="00000000" w:rsidR="00000000" w:rsidRPr="00000000">
        <w:rPr>
          <w:rtl w:val="0"/>
          <w:sz w:val="22"/>
          <w:szCs w:val="22"/>
        </w:rPr>
        <w:t xml:space="preserve">4.</w:t>
        <w:tab/>
      </w: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before="0" w:after="140" w:line="240" w:lineRule="auto"/>
        <w:jc w:val="both"/>
        <w:rPr/>
      </w:pPr>
      <w:r w:rsidDel="00000000" w:rsidR="00000000" w:rsidRPr="00000000">
        <w:rPr>
          <w:rtl w:val="0"/>
          <w:sz w:val="22"/>
          <w:szCs w:val="22"/>
        </w:rPr>
        <w:t xml:space="preserve">5.</w:t>
        <w:tab/>
      </w: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spacing w:before="0" w:after="140" w:line="240" w:lineRule="auto"/>
        <w:jc w:val="both"/>
        <w:rPr/>
      </w:pPr>
      <w:r w:rsidDel="00000000" w:rsidR="00000000" w:rsidRPr="00000000">
        <w:rPr>
          <w:rtl w:val="0"/>
          <w:sz w:val="22"/>
          <w:szCs w:val="22"/>
        </w:rPr>
        <w:t xml:space="preserve">6.</w:t>
        <w:tab/>
      </w: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spacing w:before="0" w:after="140" w:line="240" w:lineRule="auto"/>
        <w:jc w:val="both"/>
        <w:rPr/>
      </w:pPr>
      <w:r w:rsidDel="00000000" w:rsidR="00000000" w:rsidRPr="00000000">
        <w:rPr>
          <w:rtl w:val="0"/>
          <w:sz w:val="22"/>
          <w:szCs w:val="22"/>
        </w:rPr>
        <w:t xml:space="preserve">7.</w:t>
        <w:tab/>
      </w: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spacing w:before="0" w:after="140" w:line="240" w:lineRule="auto"/>
        <w:jc w:val="both"/>
        <w:rPr/>
      </w:pPr>
      <w:r w:rsidDel="00000000" w:rsidR="00000000" w:rsidRPr="00000000">
        <w:rPr>
          <w:rtl w:val="0"/>
          <w:sz w:val="22"/>
          <w:szCs w:val="22"/>
        </w:rPr>
        <w:t xml:space="preserve">8.</w:t>
        <w:tab/>
      </w: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both"/>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both"/>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both"/>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0"/>
        </w:numPr>
        <w:spacing w:before="0" w:after="60" w:line="240" w:lineRule="auto"/>
        <w:ind w:left="720" w:hanging="540"/>
        <w:jc w:val="both"/>
      </w:pPr>
      <w:r>
        <w:rPr>
          <w:i w:val="0"/>
          <w:sz w:val="22"/>
          <w:szCs w:val="22"/>
          <w:b w:val="1"/>
          <w:bCs w:val="1"/>
        </w:rPr>
        <w:t>Decoding.</w:t>
      </w:r>
      <w:r>
        <w:rPr>
          <w:b w:val="0"/>
          <w:i w:val="0"/>
          <w:sz w:val="22"/>
          <w:szCs w:val="22"/>
        </w:rPr>
        <w:t xml:space="preserve"> Images are decoded as RGB with tf.io.decode_image.</w:t>
      </w:r>
    </w:p>
    <w:p>
      <w:pPr>
        <w:numPr>
          <w:ilvl w:val="0"/>
          <w:numId w:val="90"/>
        </w:numPr>
        <w:spacing w:before="0" w:after="60" w:line="240" w:lineRule="auto"/>
        <w:ind w:left="720" w:hanging="540"/>
        <w:jc w:val="both"/>
      </w:pPr>
      <w:r>
        <w:rPr>
          <w:i w:val="0"/>
          <w:sz w:val="22"/>
          <w:szCs w:val="22"/>
          <w:b w:val="1"/>
          <w:bCs w:val="1"/>
        </w:rPr>
        <w:t>Resizing.</w:t>
      </w:r>
      <w:r>
        <w:rPr>
          <w:b w:val="0"/>
          <w:i w:val="0"/>
          <w:sz w:val="22"/>
          <w:szCs w:val="22"/>
        </w:rPr>
        <w:t xml:space="preserve"> Every image is resized to 224×224 with antialiasing (tf.image.resize).</w:t>
      </w:r>
    </w:p>
    <w:p>
      <w:pPr>
        <w:numPr>
          <w:ilvl w:val="0"/>
          <w:numId w:val="90"/>
        </w:numPr>
        <w:spacing w:before="0" w:after="60" w:line="240" w:lineRule="auto"/>
        <w:ind w:left="720" w:hanging="540"/>
        <w:jc w:val="both"/>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0"/>
        </w:numPr>
        <w:spacing w:before="0" w:after="60" w:line="240" w:lineRule="auto"/>
        <w:ind w:left="720" w:hanging="54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both"/>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both"/>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both"/>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both"/>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both"/>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both"/>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both"/>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both"/>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both"/>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both"/>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both"/>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A full-page version of this confusion matrix is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A full-page version of this confusion matrix is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both"/>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both"/>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both"/>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both"/>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w:t>
        </w:r>
      </w:hyperlink>
      <w:r>
        <w:rPr>
          <w:sz w:val="22"/>
          <w:szCs w:val="22"/>
        </w:rPr>
        <w:t xml:space="preserve">)00059-5</w:t>
      </w:r>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spacing w:before="20" w:after="20" w:line="240" w:lineRule="auto"/>
              <w:jc w:val="left"/>
            </w:pPr>
            <w:r>
              <w:rPr>
                <w:i w:val="0"/>
                <w:b w:val="1"/>
                <w:bCs w:val="1"/>
                <w:sz w:val="20"/>
                <w:szCs w:val="20"/>
              </w:rPr>
              <w:t>Threshold</w:t>
            </w:r>
          </w:p>
        </w:tc>
        <w:tc>
          <w:tcPr>
            <w:tcW w:type="dxa" w:w="2340"/>
            <w:shd w:val="clear" w:color="auto" w:fill="EAD1DC"/>
            <w:vAlign w:val="center"/>
          </w:tcPr>
          <w:p>
            <w:pPr>
              <w:spacing w:before="20" w:after="20" w:line="240" w:lineRule="auto"/>
              <w:jc w:val="left"/>
            </w:pPr>
            <w:r>
              <w:rPr>
                <w:i w:val="0"/>
                <w:b w:val="1"/>
                <w:bCs w:val="1"/>
                <w:sz w:val="20"/>
                <w:szCs w:val="20"/>
              </w:rPr>
              <w:t>Coverage</w:t>
            </w:r>
          </w:p>
        </w:tc>
        <w:tc>
          <w:tcPr>
            <w:tcW w:type="dxa" w:w="2340"/>
            <w:shd w:val="clear" w:color="auto" w:fill="EAD1DC"/>
            <w:vAlign w:val="center"/>
          </w:tcPr>
          <w:p>
            <w:pPr>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spacing w:before="20" w:after="20" w:line="240" w:lineRule="auto"/>
              <w:jc w:val="left"/>
            </w:pPr>
            <w:r>
              <w:rPr>
                <w:i w:val="0"/>
                <w:b w:val="1"/>
                <w:bCs w:val="1"/>
                <w:sz w:val="20"/>
                <w:szCs w:val="20"/>
              </w:rPr>
              <w:t>Wrong predictions caught</w:t>
            </w:r>
          </w:p>
        </w:tc>
      </w:tr>
      <w:tr>
        <w:trPr/>
        <w:tc>
          <w:tcPr>
            <w:tcW w:type="dxa" w:w="2340"/>
            <w:vAlign w:val="center"/>
          </w:tcPr>
          <w:p>
            <w:pPr>
              <w:spacing w:before="20" w:after="20" w:line="240" w:lineRule="auto"/>
              <w:jc w:val="left"/>
            </w:pPr>
            <w:r>
              <w:rPr>
                <w:b w:val="0"/>
                <w:i w:val="0"/>
                <w:sz w:val="20"/>
                <w:szCs w:val="20"/>
              </w:rPr>
              <w:t>0.40</w:t>
            </w:r>
          </w:p>
        </w:tc>
        <w:tc>
          <w:tcPr>
            <w:tcW w:type="dxa" w:w="2340"/>
            <w:vAlign w:val="center"/>
          </w:tcPr>
          <w:p>
            <w:pPr>
              <w:spacing w:before="20" w:after="20" w:line="240" w:lineRule="auto"/>
              <w:jc w:val="left"/>
            </w:pPr>
            <w:r>
              <w:rPr>
                <w:b w:val="0"/>
                <w:i w:val="0"/>
                <w:sz w:val="20"/>
                <w:szCs w:val="20"/>
              </w:rPr>
              <w:t>98.28%</w:t>
            </w:r>
          </w:p>
        </w:tc>
        <w:tc>
          <w:tcPr>
            <w:tcW w:type="dxa" w:w="2340"/>
            <w:vAlign w:val="center"/>
          </w:tcPr>
          <w:p>
            <w:pPr>
              <w:spacing w:before="20" w:after="20" w:line="240" w:lineRule="auto"/>
              <w:jc w:val="left"/>
            </w:pPr>
            <w:r>
              <w:rPr>
                <w:b w:val="0"/>
                <w:i w:val="0"/>
                <w:sz w:val="20"/>
                <w:szCs w:val="20"/>
              </w:rPr>
              <w:t>86.40%</w:t>
            </w:r>
          </w:p>
        </w:tc>
        <w:tc>
          <w:tcPr>
            <w:tcW w:type="dxa" w:w="2340"/>
            <w:vAlign w:val="center"/>
          </w:tcPr>
          <w:p>
            <w:pPr>
              <w:spacing w:before="20" w:after="20" w:line="240" w:lineRule="auto"/>
              <w:jc w:val="left"/>
            </w:pPr>
            <w:r>
              <w:rPr>
                <w:b w:val="0"/>
                <w:i w:val="0"/>
                <w:sz w:val="20"/>
                <w:szCs w:val="20"/>
              </w:rPr>
              <w:t>10.14%</w:t>
            </w:r>
          </w:p>
        </w:tc>
      </w:tr>
      <w:tr>
        <w:trPr/>
        <w:tc>
          <w:tcPr>
            <w:tcW w:type="dxa" w:w="2340"/>
            <w:vAlign w:val="center"/>
          </w:tcPr>
          <w:p>
            <w:pPr>
              <w:spacing w:before="20" w:after="20" w:line="240" w:lineRule="auto"/>
              <w:jc w:val="left"/>
            </w:pPr>
            <w:r>
              <w:rPr>
                <w:b w:val="0"/>
                <w:i w:val="0"/>
                <w:sz w:val="20"/>
                <w:szCs w:val="20"/>
              </w:rPr>
              <w:t>0.50</w:t>
            </w:r>
          </w:p>
        </w:tc>
        <w:tc>
          <w:tcPr>
            <w:tcW w:type="dxa" w:w="2340"/>
            <w:vAlign w:val="center"/>
          </w:tcPr>
          <w:p>
            <w:pPr>
              <w:spacing w:before="20" w:after="20" w:line="240" w:lineRule="auto"/>
              <w:jc w:val="left"/>
            </w:pPr>
            <w:r>
              <w:rPr>
                <w:b w:val="0"/>
                <w:i w:val="0"/>
                <w:sz w:val="20"/>
                <w:szCs w:val="20"/>
              </w:rPr>
              <w:t>94.61%</w:t>
            </w:r>
          </w:p>
        </w:tc>
        <w:tc>
          <w:tcPr>
            <w:tcW w:type="dxa" w:w="2340"/>
            <w:vAlign w:val="center"/>
          </w:tcPr>
          <w:p>
            <w:pPr>
              <w:spacing w:before="20" w:after="20" w:line="240" w:lineRule="auto"/>
              <w:jc w:val="left"/>
            </w:pPr>
            <w:r>
              <w:rPr>
                <w:b w:val="0"/>
                <w:i w:val="0"/>
                <w:sz w:val="20"/>
                <w:szCs w:val="20"/>
              </w:rPr>
              <w:t>87.70%</w:t>
            </w:r>
          </w:p>
        </w:tc>
        <w:tc>
          <w:tcPr>
            <w:tcW w:type="dxa" w:w="2340"/>
            <w:vAlign w:val="center"/>
          </w:tcPr>
          <w:p>
            <w:pPr>
              <w:spacing w:before="20" w:after="20" w:line="240" w:lineRule="auto"/>
              <w:jc w:val="left"/>
            </w:pPr>
            <w:r>
              <w:rPr>
                <w:b w:val="0"/>
                <w:i w:val="0"/>
                <w:sz w:val="20"/>
                <w:szCs w:val="20"/>
              </w:rPr>
              <w:t>21.74%</w:t>
            </w:r>
          </w:p>
        </w:tc>
      </w:tr>
      <w:tr>
        <w:trPr/>
        <w:tc>
          <w:tcPr>
            <w:tcW w:type="dxa" w:w="2340"/>
            <w:vAlign w:val="center"/>
          </w:tcPr>
          <w:p>
            <w:pPr>
              <w:spacing w:before="20" w:after="20" w:line="240" w:lineRule="auto"/>
              <w:jc w:val="left"/>
            </w:pPr>
            <w:r>
              <w:rPr>
                <w:b w:val="0"/>
                <w:i w:val="0"/>
                <w:sz w:val="20"/>
                <w:szCs w:val="20"/>
              </w:rPr>
              <w:t>0.60</w:t>
            </w:r>
          </w:p>
        </w:tc>
        <w:tc>
          <w:tcPr>
            <w:tcW w:type="dxa" w:w="2340"/>
            <w:vAlign w:val="center"/>
          </w:tcPr>
          <w:p>
            <w:pPr>
              <w:spacing w:before="20" w:after="20" w:line="240" w:lineRule="auto"/>
              <w:jc w:val="left"/>
            </w:pPr>
            <w:r>
              <w:rPr>
                <w:b w:val="0"/>
                <w:i w:val="0"/>
                <w:sz w:val="20"/>
                <w:szCs w:val="20"/>
              </w:rPr>
              <w:t>88.36%</w:t>
            </w:r>
          </w:p>
        </w:tc>
        <w:tc>
          <w:tcPr>
            <w:tcW w:type="dxa" w:w="2340"/>
            <w:vAlign w:val="center"/>
          </w:tcPr>
          <w:p>
            <w:pPr>
              <w:spacing w:before="20" w:after="20" w:line="240" w:lineRule="auto"/>
              <w:jc w:val="left"/>
            </w:pPr>
            <w:r>
              <w:rPr>
                <w:b w:val="0"/>
                <w:i w:val="0"/>
                <w:sz w:val="20"/>
                <w:szCs w:val="20"/>
              </w:rPr>
              <w:t>90.98%</w:t>
            </w:r>
          </w:p>
        </w:tc>
        <w:tc>
          <w:tcPr>
            <w:tcW w:type="dxa" w:w="2340"/>
            <w:vAlign w:val="center"/>
          </w:tcPr>
          <w:p>
            <w:pPr>
              <w:spacing w:before="20" w:after="20" w:line="240" w:lineRule="auto"/>
              <w:jc w:val="left"/>
            </w:pPr>
            <w:r>
              <w:rPr>
                <w:b w:val="0"/>
                <w:i w:val="0"/>
                <w:sz w:val="20"/>
                <w:szCs w:val="20"/>
              </w:rPr>
              <w:t>46.38%</w:t>
            </w:r>
          </w:p>
        </w:tc>
      </w:tr>
      <w:tr>
        <w:trPr/>
        <w:tc>
          <w:tcPr>
            <w:tcW w:type="dxa" w:w="2340"/>
            <w:vAlign w:val="center"/>
          </w:tcPr>
          <w:p>
            <w:pPr>
              <w:spacing w:before="20" w:after="20" w:line="240" w:lineRule="auto"/>
              <w:jc w:val="left"/>
            </w:pPr>
            <w:r>
              <w:rPr>
                <w:b w:val="0"/>
                <w:i w:val="0"/>
                <w:sz w:val="20"/>
                <w:szCs w:val="20"/>
              </w:rPr>
              <w:t>0.70</w:t>
            </w:r>
          </w:p>
        </w:tc>
        <w:tc>
          <w:tcPr>
            <w:tcW w:type="dxa" w:w="2340"/>
            <w:vAlign w:val="center"/>
          </w:tcPr>
          <w:p>
            <w:pPr>
              <w:spacing w:before="20" w:after="20" w:line="240" w:lineRule="auto"/>
              <w:jc w:val="left"/>
            </w:pPr>
            <w:r>
              <w:rPr>
                <w:b w:val="0"/>
                <w:i w:val="0"/>
                <w:sz w:val="20"/>
                <w:szCs w:val="20"/>
              </w:rPr>
              <w:t>81.03%</w:t>
            </w:r>
          </w:p>
        </w:tc>
        <w:tc>
          <w:tcPr>
            <w:tcW w:type="dxa" w:w="2340"/>
            <w:vAlign w:val="center"/>
          </w:tcPr>
          <w:p>
            <w:pPr>
              <w:spacing w:before="20" w:after="20" w:line="240" w:lineRule="auto"/>
              <w:jc w:val="left"/>
            </w:pPr>
            <w:r>
              <w:rPr>
                <w:b w:val="0"/>
                <w:i w:val="0"/>
                <w:sz w:val="20"/>
                <w:szCs w:val="20"/>
              </w:rPr>
              <w:t>93.62%</w:t>
            </w:r>
          </w:p>
        </w:tc>
        <w:tc>
          <w:tcPr>
            <w:tcW w:type="dxa" w:w="2340"/>
            <w:vAlign w:val="center"/>
          </w:tcPr>
          <w:p>
            <w:pPr>
              <w:spacing w:before="20" w:after="20" w:line="240" w:lineRule="auto"/>
              <w:jc w:val="left"/>
            </w:pPr>
            <w:r>
              <w:rPr>
                <w:b w:val="0"/>
                <w:i w:val="0"/>
                <w:sz w:val="20"/>
                <w:szCs w:val="20"/>
              </w:rPr>
              <w:t>65.22%</w:t>
            </w:r>
          </w:p>
        </w:tc>
      </w:tr>
      <w:tr>
        <w:trPr/>
        <w:tc>
          <w:tcPr>
            <w:tcW w:type="dxa" w:w="2340"/>
            <w:vAlign w:val="center"/>
          </w:tcPr>
          <w:p>
            <w:pPr>
              <w:spacing w:before="20" w:after="20" w:line="240" w:lineRule="auto"/>
              <w:jc w:val="left"/>
            </w:pPr>
            <w:r>
              <w:rPr>
                <w:b w:val="0"/>
                <w:i w:val="0"/>
                <w:sz w:val="20"/>
                <w:szCs w:val="20"/>
              </w:rPr>
              <w:t>0.80</w:t>
            </w:r>
          </w:p>
        </w:tc>
        <w:tc>
          <w:tcPr>
            <w:tcW w:type="dxa" w:w="2340"/>
            <w:vAlign w:val="center"/>
          </w:tcPr>
          <w:p>
            <w:pPr>
              <w:spacing w:before="20" w:after="20" w:line="240" w:lineRule="auto"/>
              <w:jc w:val="left"/>
            </w:pPr>
            <w:r>
              <w:rPr>
                <w:b w:val="0"/>
                <w:i w:val="0"/>
                <w:sz w:val="20"/>
                <w:szCs w:val="20"/>
              </w:rPr>
              <w:t>73.49%</w:t>
            </w:r>
          </w:p>
        </w:tc>
        <w:tc>
          <w:tcPr>
            <w:tcW w:type="dxa" w:w="2340"/>
            <w:vAlign w:val="center"/>
          </w:tcPr>
          <w:p>
            <w:pPr>
              <w:spacing w:before="20" w:after="20" w:line="240" w:lineRule="auto"/>
              <w:jc w:val="left"/>
            </w:pPr>
            <w:r>
              <w:rPr>
                <w:b w:val="0"/>
                <w:i w:val="0"/>
                <w:sz w:val="20"/>
                <w:szCs w:val="20"/>
              </w:rPr>
              <w:t>95.89%</w:t>
            </w:r>
          </w:p>
        </w:tc>
        <w:tc>
          <w:tcPr>
            <w:tcW w:type="dxa" w:w="2340"/>
            <w:vAlign w:val="center"/>
          </w:tcPr>
          <w:p>
            <w:pPr>
              <w:spacing w:before="20" w:after="20" w:line="240" w:lineRule="auto"/>
              <w:jc w:val="left"/>
            </w:pPr>
            <w:r>
              <w:rPr>
                <w:b w:val="0"/>
                <w:i w:val="0"/>
                <w:sz w:val="20"/>
                <w:szCs w:val="20"/>
              </w:rPr>
              <w:t>79.71%</w:t>
            </w:r>
          </w:p>
        </w:tc>
      </w:tr>
      <w:tr>
        <w:trPr/>
        <w:tc>
          <w:tcPr>
            <w:tcW w:type="dxa" w:w="2340"/>
            <w:vAlign w:val="center"/>
          </w:tcPr>
          <w:p>
            <w:pPr>
              <w:spacing w:before="20" w:after="20" w:line="240" w:lineRule="auto"/>
              <w:jc w:val="left"/>
            </w:pPr>
            <w:r>
              <w:rPr>
                <w:b w:val="0"/>
                <w:i w:val="0"/>
                <w:sz w:val="20"/>
                <w:szCs w:val="20"/>
              </w:rPr>
              <w:t>0.90</w:t>
            </w:r>
          </w:p>
        </w:tc>
        <w:tc>
          <w:tcPr>
            <w:tcW w:type="dxa" w:w="2340"/>
            <w:vAlign w:val="center"/>
          </w:tcPr>
          <w:p>
            <w:pPr>
              <w:spacing w:before="20" w:after="20" w:line="240" w:lineRule="auto"/>
              <w:jc w:val="left"/>
            </w:pPr>
            <w:r>
              <w:rPr>
                <w:b w:val="0"/>
                <w:i w:val="0"/>
                <w:sz w:val="20"/>
                <w:szCs w:val="20"/>
              </w:rPr>
              <w:t>59.48%</w:t>
            </w:r>
          </w:p>
        </w:tc>
        <w:tc>
          <w:tcPr>
            <w:tcW w:type="dxa" w:w="2340"/>
            <w:vAlign w:val="center"/>
          </w:tcPr>
          <w:p>
            <w:pPr>
              <w:spacing w:before="20" w:after="20" w:line="240" w:lineRule="auto"/>
              <w:jc w:val="left"/>
            </w:pPr>
            <w:r>
              <w:rPr>
                <w:b w:val="0"/>
                <w:i w:val="0"/>
                <w:sz w:val="20"/>
                <w:szCs w:val="20"/>
              </w:rPr>
              <w:t>98.55%</w:t>
            </w:r>
          </w:p>
        </w:tc>
        <w:tc>
          <w:tcPr>
            <w:tcW w:type="dxa" w:w="2340"/>
            <w:vAlign w:val="center"/>
          </w:tcPr>
          <w:p>
            <w:pPr>
              <w:spacing w:before="20" w:after="20" w:line="240" w:lineRule="auto"/>
              <w:jc w:val="left"/>
            </w:pPr>
            <w:r>
              <w:rPr>
                <w:b w:val="0"/>
                <w:i w:val="0"/>
                <w:sz w:val="20"/>
                <w:szCs w:val="20"/>
              </w:rPr>
              <w:t>94.20%</w:t>
            </w:r>
          </w:p>
        </w:tc>
      </w:tr>
    </w:tbl>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spacing w:before="20" w:after="20" w:line="240" w:lineRule="auto"/>
              <w:jc w:val="left"/>
            </w:pPr>
            <w:r>
              <w:rPr>
                <w:i w:val="0"/>
                <w:b w:val="1"/>
                <w:bCs w:val="1"/>
                <w:sz w:val="20"/>
                <w:szCs w:val="20"/>
              </w:rPr>
              <w:t>Measure</w:t>
            </w:r>
          </w:p>
        </w:tc>
        <w:tc>
          <w:tcPr>
            <w:tcW w:type="dxa" w:w="4680"/>
            <w:shd w:val="clear" w:color="auto" w:fill="EAD1DC"/>
            <w:vAlign w:val="center"/>
          </w:tcPr>
          <w:p>
            <w:pPr>
              <w:spacing w:before="20" w:after="20" w:line="240" w:lineRule="auto"/>
              <w:jc w:val="left"/>
            </w:pPr>
            <w:r>
              <w:rPr>
                <w:i w:val="0"/>
                <w:b w:val="1"/>
                <w:bCs w:val="1"/>
                <w:sz w:val="20"/>
                <w:szCs w:val="20"/>
              </w:rPr>
              <w:t>Value</w:t>
            </w:r>
          </w:p>
        </w:tc>
      </w:tr>
      <w:tr>
        <w:trPr/>
        <w:tc>
          <w:tcPr>
            <w:tcW w:type="dxa" w:w="4680"/>
            <w:vAlign w:val="center"/>
          </w:tcPr>
          <w:p>
            <w:pPr>
              <w:spacing w:before="20" w:after="20" w:line="240" w:lineRule="auto"/>
              <w:jc w:val="left"/>
            </w:pPr>
            <w:r>
              <w:rPr>
                <w:b w:val="0"/>
                <w:i w:val="0"/>
                <w:sz w:val="20"/>
                <w:szCs w:val="20"/>
              </w:rPr>
              <w:t>Selection rule</w:t>
            </w:r>
          </w:p>
        </w:tc>
        <w:tc>
          <w:tcPr>
            <w:tcW w:type="dxa" w:w="4680"/>
            <w:vAlign w:val="center"/>
          </w:tcPr>
          <w:p>
            <w:pPr>
              <w:spacing w:before="20" w:after="20" w:line="240" w:lineRule="auto"/>
              <w:jc w:val="left"/>
            </w:pPr>
            <w:r>
              <w:rPr>
                <w:b w:val="0"/>
                <w:i w:val="0"/>
                <w:sz w:val="20"/>
                <w:szCs w:val="20"/>
              </w:rPr>
              <w:t>smallest t with validation selective accuracy &gt;= 90%</w:t>
            </w:r>
          </w:p>
        </w:tc>
      </w:tr>
      <w:tr>
        <w:trPr/>
        <w:tc>
          <w:tcPr>
            <w:tcW w:type="dxa" w:w="4680"/>
            <w:vAlign w:val="center"/>
          </w:tcPr>
          <w:p>
            <w:pPr>
              <w:spacing w:before="20" w:after="20" w:line="240" w:lineRule="auto"/>
              <w:jc w:val="left"/>
            </w:pPr>
            <w:r>
              <w:rPr>
                <w:b w:val="0"/>
                <w:i w:val="0"/>
                <w:sz w:val="20"/>
                <w:szCs w:val="20"/>
              </w:rPr>
              <w:t>Chosen global fallback threshold</w:t>
            </w:r>
          </w:p>
        </w:tc>
        <w:tc>
          <w:tcPr>
            <w:tcW w:type="dxa" w:w="4680"/>
            <w:vAlign w:val="center"/>
          </w:tcPr>
          <w:p>
            <w:pPr>
              <w:spacing w:before="20" w:after="20" w:line="240" w:lineRule="auto"/>
              <w:jc w:val="left"/>
            </w:pPr>
            <w:r>
              <w:rPr>
                <w:b w:val="0"/>
                <w:i w:val="0"/>
                <w:sz w:val="20"/>
                <w:szCs w:val="20"/>
              </w:rPr>
              <w:t>0.59</w:t>
            </w:r>
          </w:p>
        </w:tc>
      </w:tr>
      <w:tr>
        <w:trPr/>
        <w:tc>
          <w:tcPr>
            <w:tcW w:type="dxa" w:w="4680"/>
            <w:vAlign w:val="center"/>
          </w:tcPr>
          <w:p>
            <w:pPr>
              <w:spacing w:before="20" w:after="20" w:line="240" w:lineRule="auto"/>
              <w:jc w:val="left"/>
            </w:pPr>
            <w:r>
              <w:rPr>
                <w:b w:val="0"/>
                <w:i w:val="0"/>
                <w:sz w:val="20"/>
                <w:szCs w:val="20"/>
              </w:rPr>
              <w:t>Validation coverage at that threshold</w:t>
            </w:r>
          </w:p>
        </w:tc>
        <w:tc>
          <w:tcPr>
            <w:tcW w:type="dxa" w:w="4680"/>
            <w:vAlign w:val="center"/>
          </w:tcPr>
          <w:p>
            <w:pPr>
              <w:spacing w:before="20" w:after="20" w:line="240" w:lineRule="auto"/>
              <w:jc w:val="left"/>
            </w:pPr>
            <w:r>
              <w:rPr>
                <w:b w:val="0"/>
                <w:i w:val="0"/>
                <w:sz w:val="20"/>
                <w:szCs w:val="20"/>
              </w:rPr>
              <w:t>89.01%</w:t>
            </w:r>
          </w:p>
        </w:tc>
      </w:tr>
      <w:tr>
        <w:trPr/>
        <w:tc>
          <w:tcPr>
            <w:tcW w:type="dxa" w:w="4680"/>
            <w:vAlign w:val="center"/>
          </w:tcPr>
          <w:p>
            <w:pPr>
              <w:spacing w:before="20" w:after="20" w:line="240" w:lineRule="auto"/>
              <w:jc w:val="left"/>
            </w:pPr>
            <w:r>
              <w:rPr>
                <w:b w:val="0"/>
                <w:i w:val="0"/>
                <w:sz w:val="20"/>
                <w:szCs w:val="20"/>
              </w:rPr>
              <w:t>Validation accuracy on covered predictions</w:t>
            </w:r>
          </w:p>
        </w:tc>
        <w:tc>
          <w:tcPr>
            <w:tcW w:type="dxa" w:w="4680"/>
            <w:vAlign w:val="center"/>
          </w:tcPr>
          <w:p>
            <w:pPr>
              <w:spacing w:before="20" w:after="20" w:line="240" w:lineRule="auto"/>
              <w:jc w:val="left"/>
            </w:pPr>
            <w:r>
              <w:rPr>
                <w:b w:val="0"/>
                <w:i w:val="0"/>
                <w:sz w:val="20"/>
                <w:szCs w:val="20"/>
              </w:rPr>
              <w:t>90.31%</w:t>
            </w:r>
          </w:p>
        </w:tc>
      </w:tr>
      <w:tr>
        <w:trPr/>
        <w:tc>
          <w:tcPr>
            <w:tcW w:type="dxa" w:w="4680"/>
            <w:vAlign w:val="center"/>
          </w:tcPr>
          <w:p>
            <w:pPr>
              <w:spacing w:before="20" w:after="20" w:line="240" w:lineRule="auto"/>
              <w:jc w:val="left"/>
            </w:pPr>
            <w:r>
              <w:rPr>
                <w:b w:val="0"/>
                <w:i w:val="0"/>
                <w:sz w:val="20"/>
                <w:szCs w:val="20"/>
              </w:rPr>
              <w:t>Test coverage at that threshold</w:t>
            </w:r>
          </w:p>
        </w:tc>
        <w:tc>
          <w:tcPr>
            <w:tcW w:type="dxa" w:w="4680"/>
            <w:vAlign w:val="center"/>
          </w:tcPr>
          <w:p>
            <w:pPr>
              <w:spacing w:before="20" w:after="20" w:line="240" w:lineRule="auto"/>
              <w:jc w:val="left"/>
            </w:pPr>
            <w:r>
              <w:rPr>
                <w:b w:val="0"/>
                <w:i w:val="0"/>
                <w:sz w:val="20"/>
                <w:szCs w:val="20"/>
              </w:rPr>
              <w:t>87.72%</w:t>
            </w:r>
          </w:p>
        </w:tc>
      </w:tr>
      <w:tr>
        <w:trPr/>
        <w:tc>
          <w:tcPr>
            <w:tcW w:type="dxa" w:w="4680"/>
            <w:vAlign w:val="center"/>
          </w:tcPr>
          <w:p>
            <w:pPr>
              <w:spacing w:before="20" w:after="20" w:line="240" w:lineRule="auto"/>
              <w:jc w:val="left"/>
            </w:pPr>
            <w:r>
              <w:rPr>
                <w:b w:val="0"/>
                <w:i w:val="0"/>
                <w:sz w:val="20"/>
                <w:szCs w:val="20"/>
              </w:rPr>
              <w:t>Test accuracy on covered predictions</w:t>
            </w:r>
          </w:p>
        </w:tc>
        <w:tc>
          <w:tcPr>
            <w:tcW w:type="dxa" w:w="4680"/>
            <w:vAlign w:val="center"/>
          </w:tcPr>
          <w:p>
            <w:pPr>
              <w:spacing w:before="20" w:after="20" w:line="240" w:lineRule="auto"/>
              <w:jc w:val="left"/>
            </w:pPr>
            <w:r>
              <w:rPr>
                <w:b w:val="0"/>
                <w:i w:val="0"/>
                <w:sz w:val="20"/>
                <w:szCs w:val="20"/>
              </w:rPr>
              <w:t>93.37%</w:t>
            </w:r>
          </w:p>
        </w:tc>
      </w:tr>
      <w:tr>
        <w:trPr/>
        <w:tc>
          <w:tcPr>
            <w:tcW w:type="dxa" w:w="4680"/>
            <w:vAlign w:val="center"/>
          </w:tcPr>
          <w:p>
            <w:pPr>
              <w:spacing w:before="20" w:after="20" w:line="240" w:lineRule="auto"/>
              <w:jc w:val="left"/>
            </w:pPr>
            <w:r>
              <w:rPr>
                <w:b w:val="0"/>
                <w:i w:val="0"/>
                <w:sz w:val="20"/>
                <w:szCs w:val="20"/>
              </w:rPr>
              <w:t>Test errors caught as Uncertain</w:t>
            </w:r>
          </w:p>
        </w:tc>
        <w:tc>
          <w:tcPr>
            <w:tcW w:type="dxa" w:w="4680"/>
            <w:vAlign w:val="center"/>
          </w:tcPr>
          <w:p>
            <w:pPr>
              <w:spacing w:before="20" w:after="20" w:line="240" w:lineRule="auto"/>
              <w:jc w:val="left"/>
            </w:pPr>
            <w:r>
              <w:rPr>
                <w:b w:val="0"/>
                <w:i w:val="0"/>
                <w:sz w:val="20"/>
                <w:szCs w:val="20"/>
              </w:rPr>
              <w:t>29 of 56</w:t>
            </w:r>
          </w:p>
        </w:tc>
      </w:tr>
    </w:tbl>
    <w:sectPr>
      <w:pgSz w:h="15840" w:w="12240" w:orient="portrait"/>
      <w:pgMar w:bottom="1440" w:top="1440" w:left="1440" w:right="1440" w:header="720" w:footer="720"/>
      <w:pgNumType w:start="1"/>
    </w:sectPr>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Full-page version of Figure 5: the confusion matrix on the 464-image test set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Full-page version of Figure 10: the confusion matrix on the 500-image unseen TrashNet test set.</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Full-page version of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both"/>
      </w:pPr>
      <w:r>
        <w:rPr>
          <w:b w:val="0"/>
          <w:i w:val="0"/>
          <w:sz w:val="22"/>
          <w:szCs w:val="22"/>
        </w:rPr>
        <w:t>Inside the repository, the notebook is src/training/Midterm_Object_Sorting_RealWaste.ipynb, the trained model is models/waste_classifier.keras, and the metrics and figures cited here are in results/.</w:t>
      </w:r>
    </w:p>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540"/>
      </w:pPr>
    </w:lvl>
    <w:lvl w:ilvl="1">
      <w:start w:val="1"/>
      <w:numFmt w:val="decimal"/>
      <w:lvlText w:val="%2."/>
      <w:lvlJc w:val="left"/>
      <w:pPr>
        <w:ind w:left="1440" w:hanging="540"/>
      </w:pPr>
    </w:lvl>
    <w:lvl w:ilvl="2">
      <w:start w:val="1"/>
      <w:numFmt w:val="decimal"/>
      <w:lvlText w:val="%3."/>
      <w:lvlJc w:val="left"/>
      <w:pPr>
        <w:ind w:left="2160" w:hanging="540"/>
      </w:pPr>
    </w:lvl>
  </w:abstractNum>
  <w:num w:numId="1">
    <w:abstractNumId w:val="1"/>
  </w:num>
  <w:num w:numId="2">
    <w:abstractNumId w:val="2"/>
  </w:num>
  <w:num w:numId="3">
    <w:abstractNumId w:val="3"/>
  </w:num>
  <w:num w:numId="4">
    <w:abstractNumId w:val="4"/>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