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65.0% on 100 everyday photos from public sources.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c>
          <w:tcPr>
            <w:tcW w:type="dxa" w:w="1935"/>
          </w:tcPr>
          <w:p>
            <w:r>
              <w:rPr>
                <w:b w:val="0"/>
              </w:rPr>
              <w:t>Pre-trained weights</w:t>
            </w:r>
          </w:p>
        </w:tc>
        <w:tc>
          <w:tcPr>
            <w:tcW w:type="dxa" w:w="3615"/>
          </w:tcPr>
          <w:p>
            <w:r>
              <w:rPr>
                <w:b w:val="0"/>
              </w:rPr>
              <w:t>ImageNet</w:t>
            </w:r>
          </w:p>
        </w:tc>
        <w:tc>
          <w:tcPr>
            <w:tcW w:type="dxa" w:w="4245"/>
          </w:tcPr>
          <w:p>
            <w:r>
              <w:rPr>
                <w:b w:val="0"/>
              </w:rPr>
              <w:t>keras.applications.MobileNetV2</w:t>
            </w:r>
          </w:p>
        </w:tc>
      </w:tr>
      <w:tr>
        <w:tc>
          <w:tcPr>
            <w:tcW w:type="dxa" w:w="1935"/>
          </w:tcPr>
          <w:p>
            <w:r>
              <w:rPr>
                <w:b w:val="0"/>
              </w:rPr>
              <w:t>Fine-tuned layers</w:t>
            </w:r>
          </w:p>
        </w:tc>
        <w:tc>
          <w:tcPr>
            <w:tcW w:type="dxa" w:w="3615"/>
          </w:tcPr>
          <w:p>
            <w:r>
              <w:rPr>
                <w:b w:val="0"/>
              </w:rPr>
              <w:t>last 40 layers of the backbone</w:t>
            </w:r>
          </w:p>
        </w:tc>
        <w:tc>
          <w:tcPr>
            <w:tcW w:type="dxa" w:w="4245"/>
          </w:tcPr>
          <w:p>
            <w:r>
              <w:rPr>
                <w:b w:val="0"/>
              </w:rPr>
              <w:t>BatchNorm layers kept frozen</w:t>
            </w:r>
          </w:p>
        </w:tc>
      </w:tr>
      <w:tr>
        <w:tc>
          <w:tcPr>
            <w:tcW w:type="dxa" w:w="1935"/>
          </w:tcPr>
          <w:p>
            <w:r>
              <w:rPr>
                <w:b w:val="0"/>
              </w:rPr>
              <w:t>Class weighting</w:t>
            </w:r>
          </w:p>
        </w:tc>
        <w:tc>
          <w:tcPr>
            <w:tcW w:type="dxa" w:w="3615"/>
          </w:tcPr>
          <w:p>
            <w:r>
              <w:rPr>
                <w:b w:val="0"/>
              </w:rPr>
              <w:t>sklearn compute_class_weight('balanced')</w:t>
            </w:r>
          </w:p>
        </w:tc>
        <w:tc>
          <w:tcPr>
            <w:tcW w:type="dxa" w:w="4245"/>
          </w:tcPr>
          <w:p>
            <w:r>
              <w:rPr>
                <w:b w:val="0"/>
              </w:rPr>
              <w:t>applied in both training stages</w:t>
            </w:r>
          </w:p>
        </w:tc>
      </w:tr>
      <w:tr>
        <w:tc>
          <w:tcPr>
            <w:tcW w:type="dxa" w:w="1935"/>
          </w:tcPr>
          <w:p>
            <w:r>
              <w:rPr>
                <w:b w:val="0"/>
              </w:rPr>
              <w:t>Confidence threshold</w:t>
            </w:r>
          </w:p>
        </w:tc>
        <w:tc>
          <w:tcPr>
            <w:tcW w:type="dxa" w:w="3615"/>
          </w:tcPr>
          <w:p>
            <w:r>
              <w:rPr>
                <w:b w:val="0"/>
              </w:rPr>
              <w:t>0.60</w:t>
            </w:r>
          </w:p>
        </w:tc>
        <w:tc>
          <w:tcPr>
            <w:tcW w:type="dxa" w:w="4245"/>
          </w:tcPr>
          <w:p>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0.60,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An external, cross-dataset test set of 100 openly licensed public images (20 per class) was assembled and evaluated to check generalization beyond RealWaste's own single-facility photography. Images come from TrashNet (Thung &amp; Yang, 2017; MIT License; 91 images, single object on a white posterboard) and Wikimedia Commons (various contributors, per-image CC0/CC BY/CC BY-SA licenses; 9 images). None of these images were taken by the group. Each image was checked against all 4,752 RealWaste images with perceptual hashing; 0 matches were found (closest same-class distance 8, above the match threshold of 5), confirming no overlap with the training data.</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65.0% </w:t>
      </w:r>
      <w:r w:rsidDel="00000000" w:rsidR="00000000" w:rsidRPr="00000000">
        <w:rPr>
          <w:rtl w:val="0"/>
        </w:rPr>
        <w:t xml:space="preserve">(65 of 100),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65.0% (13/20)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80.0% (16/20)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55.0% (11/20)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45.0% (9/20)</w:t>
            </w:r>
          </w:p>
        </w:tc>
      </w:tr>
    </w:tbl>
    <w:p>
      <w:pPr>
        <w:spacing w:after="240" w:before="240" w:line="240" w:lineRule="auto"/>
        <w:jc w:val="center"/>
        <w:rPr>
          <w:b w:val="1"/>
          <w:bCs w:val="1"/>
        </w:rPr>
      </w:pPr>
      <w:r w:rsidDel="00000000" w:rsidR="00000000" w:rsidRPr="00000000">
        <w:rPr>
          <w:b w:val="1"/>
          <w:bCs w:val="1"/>
          <w:rtl w:val="0"/>
        </w:rPr>
        <w:t xml:space="preserve">Table 6. Per-class accuracy on the 100-image external cross-dataset test set.</w:t>
      </w:r>
    </w:p>
    <w:p>
      <w:pPr>
        <w:spacing w:after="240" w:before="240" w:line="240" w:lineRule="auto"/>
        <w:jc w:val="center"/>
        <w:rPr/>
      </w:pPr>
      <w:r>
        <w:drawing>
          <wp:inline>
            <wp:extent cx="4572000" cy="3609474"/>
            <wp:docPr id="5" name="Picture 5"/>
            <wp:cNvGraphicFramePr>
              <a:graphicFrameLocks noChangeAspect="1"/>
            </wp:cNvGraphicFramePr>
            <a:graphic>
              <a:graphicData uri="http://schemas.openxmlformats.org/drawingml/2006/picture">
                <pic:pic>
                  <pic:nvPicPr>
                    <pic:cNvPr id="0" name="confusion_matrix_external.png"/>
                    <pic:cNvPicPr/>
                  </pic:nvPicPr>
                  <pic:blipFill>
                    <a:blip r:embed="rId12"/>
                    <a:stretch>
                      <a:fillRect/>
                    </a:stretch>
                  </pic:blipFill>
                  <pic:spPr>
                    <a:xfrm>
                      <a:off x="0" y="0"/>
                      <a:ext cx="4572000" cy="360947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Confusion matrix on the 100-image external test set (TrashNet + Wikimedia Commons).</w:t>
      </w:r>
    </w:p>
    <w:p>
      <w:pPr>
        <w:spacing w:after="160" w:line="240" w:lineRule="auto"/>
        <w:jc w:val="both"/>
        <w:rPr/>
      </w:pPr>
      <w:r w:rsidDel="00000000" w:rsidR="00000000" w:rsidRPr="00000000">
        <w:rPr>
          <w:rtl w:val="0"/>
        </w:rPr>
        <w:t>The drop from 87.93% to 65.0% is domain shift: RealWaste's training photos were all taken at one landfill facility's point of reception, while the external images are everyday, single-object photos from varied cameras and backgrounds, which the model was never trained on. The largest error is Paper misread as Cardboard (8 of 20 Paper images), and Plastic is confused with Glass in both directions (6 Plastic misread as Glass, 4 Glass misread as Plastic); Cardboard and Metal generalize best (80% each).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test set (Section 6.5), the same kind of confusion appears but is larger: Paper misread as Cardboard (8 of 20) is now the single biggest error cell, and Plastic and Glass confusion (6 and 4 images respectively) again shows up in both directions. This points to the model leaning on texture and color cues (cardboard-like brown tones, glass-like transparency) that do not reliably separate these classes once the images come from a different camera and setting than RealWaste's own landfill photography.</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the external cross-dataset test (Section 6.5) confirms this limits generalization, dropping accuracy from 87.93% to 65.0%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from the RealWaste test set were not retained, which limits qualitative error analysis to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Close the generalization gap found by the external test. </w:t>
      </w:r>
      <w:r w:rsidDel="00000000" w:rsidR="00000000" w:rsidRPr="00000000">
        <w:rPr>
          <w:rtl w:val="0"/>
        </w:rPr>
        <w:t xml:space="preserve">The 87.93%-to-65.0%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both"/>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pPr>
        <w:spacing w:after="160" w:line="240" w:lineRule="auto"/>
        <w:ind w:left="1440" w:hanging="720"/>
        <w:jc w:val="both"/>
        <w:rPr/>
      </w:pPr>
      <w:r w:rsidDel="00000000" w:rsidR="00000000" w:rsidRPr="00000000">
        <w:rPr>
          <w:rtl w:val="0"/>
        </w:rPr>
        <w:t xml:space="preserve">Thung, G., &amp; Yang, M. (2017).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pPr>
        <w:spacing w:after="160" w:line="240" w:lineRule="auto"/>
        <w:ind w:left="1440" w:hanging="720"/>
        <w:jc w:val="both"/>
        <w:rPr/>
      </w:pPr>
      <w:r w:rsidDel="00000000" w:rsidR="00000000" w:rsidRPr="00000000">
        <w:rPr>
          <w:rtl w:val="0"/>
        </w:rPr>
        <w:t xml:space="preserve">Wikimedia Commons contributors. (n.d.). </w:t>
      </w:r>
      <w:r w:rsidDel="00000000" w:rsidR="00000000" w:rsidRPr="00000000">
        <w:rPr>
          <w:i w:val="1"/>
          <w:iCs w:val="1"/>
          <w:rtl w:val="0"/>
        </w:rPr>
        <w:t xml:space="preserve">Wikimedia Commons</w:t>
      </w:r>
      <w:r w:rsidDel="00000000" w:rsidR="00000000" w:rsidRPr="00000000">
        <w:rPr>
          <w:rtl w:val="0"/>
        </w:rPr>
        <w:t xml:space="preserve"> [Image collection]. Wikimedia Foundation. https://commons.wikimedia.org (per-image CC0/CC BY/CC BY-SA licenses; see external_test/SOURCES.csv for per-image attribution)</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