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expert-walkthrough-protocol"/>
    <w:p>
      <w:pPr>
        <w:pStyle w:val="Heading1"/>
      </w:pPr>
      <w:r>
        <w:t xml:space="preserve">Expert Walkthrough Protocol</w:t>
      </w:r>
    </w:p>
    <w:p>
      <w:pPr>
        <w:pStyle w:val="FirstParagraph"/>
      </w:pPr>
      <w:r>
        <w:rPr>
          <w:rFonts w:hint="eastAsia"/>
          <w:b/>
          <w:bCs/>
        </w:rPr>
        <w:t xml:space="preserve">神农堂</w:t>
      </w:r>
      <w:r>
        <w:rPr>
          <w:b/>
          <w:bCs/>
        </w:rPr>
        <w:t xml:space="preserve"> Shennong Hall — Universe 647</w:t>
      </w:r>
      <w:r>
        <w:t xml:space="preserve"> </w:t>
      </w:r>
      <w:r>
        <w:t xml:space="preserve">Version 1.0 · April 2026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protocol guides a structured expert walkthrough of </w:t>
      </w:r>
      <w:r>
        <w:rPr>
          <w:rFonts w:hint="eastAsia"/>
        </w:rPr>
        <w:t xml:space="preserve">神农堂,</w:t>
      </w:r>
      <w:r>
        <w:t xml:space="preserve"> a browser-based serious game for scientific inquiry learning. The walkthrough serves as</w:t>
      </w:r>
      <w:r>
        <w:t xml:space="preserve"> </w:t>
      </w:r>
      <w:r>
        <w:rPr>
          <w:b/>
          <w:bCs/>
        </w:rPr>
        <w:t xml:space="preserve">design validation</w:t>
      </w:r>
      <w:r>
        <w:t xml:space="preserve"> </w:t>
      </w:r>
      <w:r>
        <w:t xml:space="preserve">— it generates qualitative evidence about whether the game’s core mechanics (death-as-data, five-sense interaction, CER Board, AI Tombstone) support the intended inquiry learning trajectory.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user study. Participants are domain experts providing professional judgment, not research subjects. No IRB approval is required.</w:t>
      </w:r>
    </w:p>
    <w:p>
      <w:pPr>
        <w:pStyle w:val="BodyText"/>
      </w:pPr>
      <w:r>
        <w:t xml:space="preserve">The data produced by this protocol supports the methodology and results sections of a design paper targeting IJSG (International Journal of Serious Games).</w:t>
      </w:r>
    </w:p>
    <w:p>
      <w:r>
        <w:pict>
          <v:rect style="width:0;height:1.5pt" o:hralign="center" o:hrstd="t" o:hr="t"/>
        </w:pict>
      </w:r>
    </w:p>
    <w:bookmarkEnd w:id="9"/>
    <w:bookmarkStart w:id="13" w:name="expert-selection"/>
    <w:p>
      <w:pPr>
        <w:pStyle w:val="Heading2"/>
      </w:pPr>
      <w:r>
        <w:t xml:space="preserve">2. Expert Selection</w:t>
      </w:r>
    </w:p>
    <w:bookmarkStart w:id="10" w:name="criteria"/>
    <w:p>
      <w:pPr>
        <w:pStyle w:val="Heading3"/>
      </w:pPr>
      <w:r>
        <w:t xml:space="preserve">Criteria</w:t>
      </w:r>
    </w:p>
    <w:p>
      <w:pPr>
        <w:pStyle w:val="FirstParagraph"/>
      </w:pPr>
      <w:r>
        <w:t xml:space="preserve">Recruit</w:t>
      </w:r>
      <w:r>
        <w:t xml:space="preserve"> </w:t>
      </w:r>
      <w:r>
        <w:rPr>
          <w:b/>
          <w:bCs/>
        </w:rPr>
        <w:t xml:space="preserve">3 experts</w:t>
      </w:r>
      <w:r>
        <w:t xml:space="preserve"> </w:t>
      </w:r>
      <w:r>
        <w:t xml:space="preserve">(minimum 2). Each expert should satisfy at least one of the following: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Why they 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Science education researcher</w:t>
            </w:r>
          </w:p>
        </w:tc>
        <w:tc>
          <w:tcPr/>
          <w:p>
            <w:pPr>
              <w:pStyle w:val="Compact"/>
            </w:pPr>
            <w:r>
              <w:t xml:space="preserve">Can evaluate whether the inquiry cycle (observation → question → hypothesis → test → claim) is faithfully operationalized in the gameplay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Game-based learning designer/researcher</w:t>
            </w:r>
          </w:p>
        </w:tc>
        <w:tc>
          <w:tcPr/>
          <w:p>
            <w:pPr>
              <w:pStyle w:val="Compact"/>
            </w:pPr>
            <w:r>
              <w:t xml:space="preserve">Can evaluate intrinsic integration, productive failure mechanics, and whether the learning is inseparable from the gameplay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Science teacher (5+ years)</w:t>
            </w:r>
          </w:p>
        </w:tc>
        <w:tc>
          <w:tcPr/>
          <w:p>
            <w:pPr>
              <w:pStyle w:val="Compact"/>
            </w:pPr>
            <w:r>
              <w:t xml:space="preserve">Can evaluate whether the 14-claim tier structure reflects realistic cognitive demands for the target audience (middle school–undergraduate)</w:t>
            </w:r>
          </w:p>
        </w:tc>
      </w:tr>
    </w:tbl>
    <w:p>
      <w:pPr>
        <w:pStyle w:val="BodyText"/>
      </w:pPr>
      <w:r>
        <w:t xml:space="preserve">Ideal: at least one person from each of the first two profiles. The third can be any of the three.</w:t>
      </w:r>
    </w:p>
    <w:bookmarkEnd w:id="10"/>
    <w:bookmarkStart w:id="11" w:name="recruitment"/>
    <w:p>
      <w:pPr>
        <w:pStyle w:val="Heading3"/>
      </w:pPr>
      <w:r>
        <w:t xml:space="preserve">Recruitment</w:t>
      </w:r>
    </w:p>
    <w:p>
      <w:pPr>
        <w:pStyle w:val="Compact"/>
        <w:numPr>
          <w:ilvl w:val="0"/>
          <w:numId w:val="1001"/>
        </w:numPr>
      </w:pPr>
      <w:r>
        <w:t xml:space="preserve">Former academic collaborators, conference contacts, or professional network</w:t>
      </w:r>
    </w:p>
    <w:p>
      <w:pPr>
        <w:pStyle w:val="Compact"/>
        <w:numPr>
          <w:ilvl w:val="0"/>
          <w:numId w:val="1001"/>
        </w:numPr>
      </w:pPr>
      <w:r>
        <w:t xml:space="preserve">Compensation: acknowledgment in the paper (+ co-authorship if their contribution warrants it)</w:t>
      </w:r>
    </w:p>
    <w:p>
      <w:pPr>
        <w:pStyle w:val="Compact"/>
        <w:numPr>
          <w:ilvl w:val="0"/>
          <w:numId w:val="1001"/>
        </w:numPr>
      </w:pPr>
      <w:r>
        <w:t xml:space="preserve">Time commitment: ~60 minutes total (30 min play + 30 min interview)</w:t>
      </w:r>
    </w:p>
    <w:bookmarkEnd w:id="11"/>
    <w:bookmarkStart w:id="12" w:name="what-to-disclose-at-recruitment"/>
    <w:p>
      <w:pPr>
        <w:pStyle w:val="Heading3"/>
      </w:pPr>
      <w:r>
        <w:t xml:space="preserve">What to disclose at recruitment</w:t>
      </w:r>
    </w:p>
    <w:p>
      <w:pPr>
        <w:pStyle w:val="BlockText"/>
      </w:pPr>
      <w:r>
        <w:t xml:space="preserve">“I’m developing a browser-based science game for an IJSG submission. I’d like you to play it for 20–30 minutes and then discuss your experience. There are no right answers — I’m interested in your professional judgment on the design.”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the 14-claim structure, the CER scaffolding design, or the Tombstone’s classification framework before the walkthrough. These are features the expert should encounter and evaluate organically.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etup"/>
    <w:p>
      <w:pPr>
        <w:pStyle w:val="Heading2"/>
      </w:pPr>
      <w:r>
        <w:t xml:space="preserve">3. Setup</w:t>
      </w:r>
    </w:p>
    <w:bookmarkStart w:id="14" w:name="technical-requirements"/>
    <w:p>
      <w:pPr>
        <w:pStyle w:val="Heading3"/>
      </w:pPr>
      <w:r>
        <w:t xml:space="preserve">Technical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Desktop computer with Chrome/Firefox (preferred) or mobile phone with Safari/Chrome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https://j696e67.github.io/647_universe/ (or localhost:9090 for local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For full experience, the host must have</w:t>
            </w:r>
            <w:r>
              <w:t xml:space="preserve"> </w:t>
            </w:r>
            <w:r>
              <w:rPr>
                <w:rStyle w:val="VerbatimChar"/>
              </w:rPr>
              <w:t xml:space="preserve">config.local.js</w:t>
            </w:r>
            <w:r>
              <w:t xml:space="preserve"> </w:t>
            </w:r>
            <w:r>
              <w:t xml:space="preserve">with a valid Anthropic API key. If using GitHub Pages, Tombstone falls back to offline mode — acceptable for the walkthrough but note this in the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recording</w:t>
            </w:r>
          </w:p>
        </w:tc>
        <w:tc>
          <w:tcPr/>
          <w:p>
            <w:pPr>
              <w:pStyle w:val="Compact"/>
            </w:pPr>
            <w:r>
              <w:t xml:space="preserve">OBS, QuickTime, or the device’s built-in recorder. Capture both screen and audio (for think-aloud)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Microphone for think-aloud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The researcher (you) present in the same room or on a video call</w:t>
            </w:r>
          </w:p>
        </w:tc>
      </w:tr>
    </w:tbl>
    <w:bookmarkEnd w:id="14"/>
    <w:bookmarkStart w:id="15" w:name="pre-session-checklist"/>
    <w:p>
      <w:pPr>
        <w:pStyle w:val="Heading3"/>
      </w:pPr>
      <w:r>
        <w:t xml:space="preserve">Pre-session checklist</w:t>
      </w:r>
    </w:p>
    <w:p>
      <w:pPr>
        <w:pStyle w:val="Compact"/>
        <w:numPr>
          <w:ilvl w:val="0"/>
          <w:numId w:val="1002"/>
        </w:numPr>
      </w:pPr>
      <w:r>
        <w:t xml:space="preserve">Clear browser localStorage for the game URL (fresh state)</w:t>
      </w:r>
    </w:p>
    <w:p>
      <w:pPr>
        <w:pStyle w:val="Compact"/>
        <w:numPr>
          <w:ilvl w:val="0"/>
          <w:numId w:val="1003"/>
        </w:numPr>
      </w:pPr>
      <w:r>
        <w:t xml:space="preserve">Verify game loads and runs without errors</w:t>
      </w:r>
    </w:p>
    <w:p>
      <w:pPr>
        <w:pStyle w:val="Compact"/>
        <w:numPr>
          <w:ilvl w:val="0"/>
          <w:numId w:val="1004"/>
        </w:numPr>
      </w:pPr>
      <w:r>
        <w:t xml:space="preserve">Start screen recording before the expert begins</w:t>
      </w:r>
    </w:p>
    <w:p>
      <w:pPr>
        <w:pStyle w:val="Compact"/>
        <w:numPr>
          <w:ilvl w:val="0"/>
          <w:numId w:val="1005"/>
        </w:numPr>
      </w:pPr>
      <w:r>
        <w:t xml:space="preserve">Prepare the observer notes template (§5)</w:t>
      </w:r>
    </w:p>
    <w:p>
      <w:pPr>
        <w:pStyle w:val="Compact"/>
        <w:numPr>
          <w:ilvl w:val="0"/>
          <w:numId w:val="1006"/>
        </w:numPr>
      </w:pPr>
      <w:r>
        <w:t xml:space="preserve">Print or have the post-walkthrough questions (§6) ready</w:t>
      </w:r>
    </w:p>
    <w:p>
      <w:pPr>
        <w:pStyle w:val="Compact"/>
        <w:numPr>
          <w:ilvl w:val="0"/>
          <w:numId w:val="1007"/>
        </w:numPr>
      </w:pPr>
      <w:r>
        <w:t xml:space="preserve">Test that the Tombstone responds (either Claude API or offline fallback)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4e6e8910387c2078c84078abd459730297f9c4f"/>
    <w:p>
      <w:pPr>
        <w:pStyle w:val="Heading2"/>
      </w:pPr>
      <w:r>
        <w:t xml:space="preserve">4. Pre-Walkthrough Briefing (read aloud to expert)</w:t>
      </w:r>
    </w:p>
    <w:p>
      <w:pPr>
        <w:pStyle w:val="BlockText"/>
      </w:pPr>
      <w:r>
        <w:t xml:space="preserve">“This is a browser-based 3D game about scientific inquiry. You play as a series of explorers in a place called Universe 647. The game will not tell you what to do — there are no tutorials for gameplay, no scores, and no objectives on screen.</w:t>
      </w:r>
    </w:p>
    <w:p>
      <w:pPr>
        <w:pStyle w:val="BlockText"/>
      </w:pPr>
      <w:r>
        <w:t xml:space="preserve">I’d like you to</w:t>
      </w:r>
      <w:r>
        <w:t xml:space="preserve"> </w:t>
      </w:r>
      <w:r>
        <w:rPr>
          <w:b/>
          <w:bCs/>
        </w:rPr>
        <w:t xml:space="preserve">think aloud</w:t>
      </w:r>
      <w:r>
        <w:t xml:space="preserve"> </w:t>
      </w:r>
      <w:r>
        <w:t xml:space="preserve">as you play. Say whatever comes to mind: what you notice, what confuses you, what you’re trying to do, what you think is happening, what frustrates you. There are no right answers.</w:t>
      </w:r>
    </w:p>
    <w:p>
      <w:pPr>
        <w:pStyle w:val="BlockText"/>
      </w:pPr>
      <w:r>
        <w:t xml:space="preserve">Please play for about</w:t>
      </w:r>
      <w:r>
        <w:t xml:space="preserve"> </w:t>
      </w:r>
      <w:r>
        <w:rPr>
          <w:b/>
          <w:bCs/>
        </w:rPr>
        <w:t xml:space="preserve">20–25 minutes</w:t>
      </w:r>
      <w:r>
        <w:t xml:space="preserve">. I won’t interrupt unless you ask for help with the controls. After you finish, I’ll ask you some questions about your experience.</w:t>
      </w:r>
    </w:p>
    <w:p>
      <w:pPr>
        <w:pStyle w:val="BlockText"/>
      </w:pPr>
      <w:r>
        <w:rPr>
          <w:b/>
          <w:bCs/>
        </w:rPr>
        <w:t xml:space="preserve">Controls</w:t>
      </w:r>
      <w:r>
        <w:t xml:space="preserve">: [show appropriate control scheme for their device]</w:t>
      </w:r>
      <w:r>
        <w:t xml:space="preserve"> </w:t>
      </w:r>
      <w:r>
        <w:t xml:space="preserve">- Desktop: click to start, WASD to walk, mouse to look, aim crosshair at objects to interact</w:t>
      </w:r>
      <w:r>
        <w:t xml:space="preserve"> </w:t>
      </w:r>
      <w:r>
        <w:t xml:space="preserve">- Mobile: drag left to walk, drag right to look, tap to interact</w:t>
      </w:r>
    </w:p>
    <w:p>
      <w:pPr>
        <w:pStyle w:val="BlockText"/>
      </w:pPr>
      <w:r>
        <w:t xml:space="preserve">Ready? Go ahead and start.”</w:t>
      </w:r>
    </w:p>
    <w:bookmarkStart w:id="17" w:name="what-not-to-say"/>
    <w:p>
      <w:pPr>
        <w:pStyle w:val="Heading3"/>
      </w:pPr>
      <w:r>
        <w:t xml:space="preserve">What NOT to say</w:t>
      </w:r>
    </w:p>
    <w:p>
      <w:pPr>
        <w:pStyle w:val="Compact"/>
        <w:numPr>
          <w:ilvl w:val="0"/>
          <w:numId w:val="1008"/>
        </w:numPr>
      </w:pPr>
      <w:r>
        <w:t xml:space="preserve">Do not explain what the white powder is or what it does</w:t>
      </w:r>
    </w:p>
    <w:p>
      <w:pPr>
        <w:pStyle w:val="Compact"/>
        <w:numPr>
          <w:ilvl w:val="0"/>
          <w:numId w:val="1008"/>
        </w:numPr>
      </w:pPr>
      <w:r>
        <w:t xml:space="preserve">Do not explain the CER Board or what it’s for</w:t>
      </w:r>
    </w:p>
    <w:p>
      <w:pPr>
        <w:pStyle w:val="Compact"/>
        <w:numPr>
          <w:ilvl w:val="0"/>
          <w:numId w:val="1008"/>
        </w:numPr>
      </w:pPr>
      <w:r>
        <w:t xml:space="preserve">Do not explain the Tombstone’s role</w:t>
      </w:r>
    </w:p>
    <w:p>
      <w:pPr>
        <w:pStyle w:val="Compact"/>
        <w:numPr>
          <w:ilvl w:val="0"/>
          <w:numId w:val="1008"/>
        </w:numPr>
      </w:pPr>
      <w:r>
        <w:t xml:space="preserve">Do not reveal the existence of 14 knowledge claims</w:t>
      </w:r>
    </w:p>
    <w:p>
      <w:pPr>
        <w:pStyle w:val="Compact"/>
        <w:numPr>
          <w:ilvl w:val="0"/>
          <w:numId w:val="1008"/>
        </w:numPr>
      </w:pPr>
      <w:r>
        <w:t xml:space="preserve">Do not say</w:t>
      </w:r>
      <w:r>
        <w:t xml:space="preserve"> </w:t>
      </w:r>
      <w:r>
        <w:t xml:space="preserve">“you will die”</w:t>
      </w:r>
      <w:r>
        <w:t xml:space="preserve"> </w:t>
      </w:r>
      <w:r>
        <w:t xml:space="preserve">— let them discover it</w:t>
      </w:r>
    </w:p>
    <w:p>
      <w:pPr>
        <w:pStyle w:val="Compact"/>
        <w:numPr>
          <w:ilvl w:val="0"/>
          <w:numId w:val="1008"/>
        </w:numPr>
      </w:pPr>
      <w:r>
        <w:t xml:space="preserve">Do not explain the maze or how to find it</w:t>
      </w:r>
    </w:p>
    <w:p>
      <w:pPr>
        <w:pStyle w:val="Compact"/>
        <w:numPr>
          <w:ilvl w:val="0"/>
          <w:numId w:val="1008"/>
        </w:numPr>
      </w:pPr>
      <w:r>
        <w:t xml:space="preserve">If they ask</w:t>
      </w:r>
      <w:r>
        <w:t xml:space="preserve"> </w:t>
      </w:r>
      <w:r>
        <w:t xml:space="preserve">“what am I supposed to do?”</w:t>
      </w:r>
      <w:r>
        <w:t xml:space="preserve">, reply:</w:t>
      </w:r>
      <w:r>
        <w:t xml:space="preserve"> </w:t>
      </w:r>
      <w:r>
        <w:t xml:space="preserve">“Whatever you think makes sense.”</w:t>
      </w:r>
    </w:p>
    <w:p>
      <w:pPr>
        <w:pStyle w:val="Compact"/>
        <w:numPr>
          <w:ilvl w:val="0"/>
          <w:numId w:val="1008"/>
        </w:numPr>
      </w:pPr>
      <w:r>
        <w:t xml:space="preserve">If they are stuck on controls for &gt;2 minutes, you may offer the control reminder only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walkthrough-procedure"/>
    <w:p>
      <w:pPr>
        <w:pStyle w:val="Heading2"/>
      </w:pPr>
      <w:r>
        <w:t xml:space="preserve">5. Walkthrough Procedure</w:t>
      </w:r>
    </w:p>
    <w:bookmarkStart w:id="19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t xml:space="preserve">20–25 minutes of active play. The expert may stop earlier if they feel they’ve seen enough, or continue longer if engaged. Do not cut them off mid-inquiry.</w:t>
      </w:r>
    </w:p>
    <w:bookmarkEnd w:id="19"/>
    <w:bookmarkStart w:id="20" w:name="observer-role"/>
    <w:p>
      <w:pPr>
        <w:pStyle w:val="Heading3"/>
      </w:pPr>
      <w:r>
        <w:t xml:space="preserve">Observer role</w:t>
      </w:r>
    </w:p>
    <w:p>
      <w:pPr>
        <w:pStyle w:val="FirstParagraph"/>
      </w:pPr>
      <w:r>
        <w:rPr>
          <w:b/>
          <w:bCs/>
        </w:rPr>
        <w:t xml:space="preserve">Silent observer</w:t>
      </w:r>
      <w:r>
        <w:t xml:space="preserve">. Take timestamped notes on the template below. Do not guide, hint, or react visibly to the expert’s choices. If they look at you for validation, say:</w:t>
      </w:r>
      <w:r>
        <w:t xml:space="preserve"> </w:t>
      </w:r>
      <w:r>
        <w:t xml:space="preserve">“Keep going — I’m interested in whatever you do.”</w:t>
      </w:r>
    </w:p>
    <w:bookmarkEnd w:id="20"/>
    <w:bookmarkStart w:id="21" w:name="observer-notes-template"/>
    <w:p>
      <w:pPr>
        <w:pStyle w:val="Heading3"/>
      </w:pPr>
      <w:r>
        <w:t xml:space="preserve">Observer Notes Template</w:t>
      </w:r>
    </w:p>
    <w:p>
      <w:pPr>
        <w:pStyle w:val="FirstParagraph"/>
      </w:pPr>
      <w:r>
        <w:t xml:space="preserve">Record these timestamps and events as they happen:</w:t>
      </w:r>
    </w:p>
    <w:p>
      <w:pPr>
        <w:pStyle w:val="SourceCode"/>
      </w:pPr>
      <w:r>
        <w:rPr>
          <w:rStyle w:val="VerbatimChar"/>
        </w:rPr>
        <w:t xml:space="preserve">Session: Expert [#] — [Name] — [Date]</w:t>
      </w:r>
      <w:r>
        <w:br/>
      </w:r>
      <w:r>
        <w:rPr>
          <w:rStyle w:val="VerbatimChar"/>
        </w:rPr>
        <w:t xml:space="preserve">Device: [Desktop/Mobile] — [Browser]</w:t>
      </w:r>
      <w:r>
        <w:br/>
      </w:r>
      <w:r>
        <w:rPr>
          <w:rStyle w:val="VerbatimChar"/>
        </w:rPr>
        <w:t xml:space="preserve">Tombstone mode: [Claude API / Offline fallback]</w:t>
      </w:r>
      <w:r>
        <w:br/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[ ] T=___  First movement</w:t>
      </w:r>
      <w:r>
        <w:br/>
      </w:r>
      <w:r>
        <w:rPr>
          <w:rStyle w:val="VerbatimChar"/>
        </w:rPr>
        <w:t xml:space="preserve">[ ] T=___  Entered house</w:t>
      </w:r>
      <w:r>
        <w:br/>
      </w:r>
      <w:r>
        <w:rPr>
          <w:rStyle w:val="VerbatimChar"/>
        </w:rPr>
        <w:t xml:space="preserve">[ ] T=___  First sense action used: ___________</w:t>
      </w:r>
      <w:r>
        <w:br/>
      </w:r>
      <w:r>
        <w:rPr>
          <w:rStyle w:val="VerbatimChar"/>
        </w:rPr>
        <w:t xml:space="preserve">[ ] T=___  All 5 senses completed (pillars lit)</w:t>
      </w:r>
      <w:r>
        <w:br/>
      </w:r>
      <w:r>
        <w:rPr>
          <w:rStyle w:val="VerbatimChar"/>
        </w:rPr>
        <w:t xml:space="preserve">[ ] T=___  Noticed "something outside has changed" prompt</w:t>
      </w:r>
      <w:r>
        <w:br/>
      </w:r>
      <w:r>
        <w:rPr>
          <w:rStyle w:val="VerbatimChar"/>
        </w:rPr>
        <w:t xml:space="preserve">[ ] T=___  Found and entered maze</w:t>
      </w:r>
      <w:r>
        <w:br/>
      </w:r>
      <w:r>
        <w:br/>
      </w:r>
      <w:r>
        <w:rPr>
          <w:rStyle w:val="VerbatimChar"/>
        </w:rPr>
        <w:t xml:space="preserve">FIRST LIFE</w:t>
      </w:r>
      <w:r>
        <w:br/>
      </w:r>
      <w:r>
        <w:rPr>
          <w:rStyle w:val="VerbatimChar"/>
        </w:rPr>
        <w:t xml:space="preserve">[ ] T=___  First interaction in maze: ___________</w:t>
      </w:r>
      <w:r>
        <w:br/>
      </w:r>
      <w:r>
        <w:rPr>
          <w:rStyle w:val="VerbatimChar"/>
        </w:rPr>
        <w:t xml:space="preserve">[ ] T=___  First death — cause: ___________</w:t>
      </w:r>
      <w:r>
        <w:br/>
      </w:r>
      <w:r>
        <w:rPr>
          <w:rStyle w:val="VerbatimChar"/>
        </w:rPr>
        <w:t xml:space="preserve">[ ] T=___  Think-aloud reaction to death: ___________</w:t>
      </w:r>
      <w:r>
        <w:br/>
      </w:r>
      <w:r>
        <w:br/>
      </w:r>
      <w:r>
        <w:rPr>
          <w:rStyle w:val="VerbatimChar"/>
        </w:rPr>
        <w:t xml:space="preserve">SECOND LIFE</w:t>
      </w:r>
      <w:r>
        <w:br/>
      </w:r>
      <w:r>
        <w:rPr>
          <w:rStyle w:val="VerbatimChar"/>
        </w:rPr>
        <w:t xml:space="preserve">[ ] T=___  New character name: ___________</w:t>
      </w:r>
      <w:r>
        <w:br/>
      </w:r>
      <w:r>
        <w:rPr>
          <w:rStyle w:val="VerbatimChar"/>
        </w:rPr>
        <w:t xml:space="preserve">[ ] T=___  Opened notebook (spontaneous / prompted by Beat 6)</w:t>
      </w:r>
      <w:r>
        <w:br/>
      </w:r>
      <w:r>
        <w:rPr>
          <w:rStyle w:val="VerbatimChar"/>
        </w:rPr>
        <w:t xml:space="preserve">[ ] T=___  Interacted with CER Board: ___________</w:t>
      </w:r>
      <w:r>
        <w:br/>
      </w:r>
      <w:r>
        <w:rPr>
          <w:rStyle w:val="VerbatimChar"/>
        </w:rPr>
        <w:t xml:space="preserve">[ ] T=___  Submitted CER entry: Y/N — result: ___________</w:t>
      </w:r>
      <w:r>
        <w:br/>
      </w:r>
      <w:r>
        <w:rPr>
          <w:rStyle w:val="VerbatimChar"/>
        </w:rPr>
        <w:t xml:space="preserve">[ ] T=___  Visited Tombstone: Y/N</w:t>
      </w:r>
      <w:r>
        <w:br/>
      </w:r>
      <w:r>
        <w:rPr>
          <w:rStyle w:val="VerbatimChar"/>
        </w:rPr>
        <w:t xml:space="preserve">[ ] T=___  Tombstone dialogue topic: ___________</w:t>
      </w:r>
      <w:r>
        <w:br/>
      </w:r>
      <w:r>
        <w:br/>
      </w:r>
      <w:r>
        <w:rPr>
          <w:rStyle w:val="VerbatimChar"/>
        </w:rPr>
        <w:t xml:space="preserve">SUBSEQUENT LIVES</w:t>
      </w:r>
      <w:r>
        <w:br/>
      </w:r>
      <w:r>
        <w:rPr>
          <w:rStyle w:val="VerbatimChar"/>
        </w:rPr>
        <w:t xml:space="preserve">[ ] T=___  Character ___: death cause ___________</w:t>
      </w:r>
      <w:r>
        <w:br/>
      </w:r>
      <w:r>
        <w:rPr>
          <w:rStyle w:val="VerbatimChar"/>
        </w:rPr>
        <w:t xml:space="preserve">[ ] T=___  Evidence of controlled-variable reasoning: ___________</w:t>
      </w:r>
      <w:r>
        <w:br/>
      </w:r>
      <w:r>
        <w:rPr>
          <w:rStyle w:val="VerbatimChar"/>
        </w:rPr>
        <w:t xml:space="preserve">[ ] T=___  Evidence of cross-contamination suspicion: ___________</w:t>
      </w:r>
      <w:r>
        <w:br/>
      </w:r>
      <w:r>
        <w:rPr>
          <w:rStyle w:val="VerbatimChar"/>
        </w:rPr>
        <w:t xml:space="preserve">[ ] T=___  Claims validated: ___________</w:t>
      </w:r>
      <w:r>
        <w:br/>
      </w:r>
      <w:r>
        <w:br/>
      </w:r>
      <w:r>
        <w:rPr>
          <w:rStyle w:val="VerbatimChar"/>
        </w:rPr>
        <w:t xml:space="preserve">NOTABLE MOMENTS</w:t>
      </w:r>
      <w:r>
        <w:br/>
      </w:r>
      <w:r>
        <w:rPr>
          <w:rStyle w:val="VerbatimChar"/>
        </w:rPr>
        <w:t xml:space="preserve">- T=___  ___________________________________________</w:t>
      </w:r>
      <w:r>
        <w:br/>
      </w:r>
      <w:r>
        <w:rPr>
          <w:rStyle w:val="VerbatimChar"/>
        </w:rPr>
        <w:t xml:space="preserve">- T=___  ___________________________________________</w:t>
      </w:r>
      <w:r>
        <w:br/>
      </w:r>
      <w:r>
        <w:rPr>
          <w:rStyle w:val="VerbatimChar"/>
        </w:rPr>
        <w:t xml:space="preserve">- T=___  ___________________________________________</w:t>
      </w:r>
      <w:r>
        <w:br/>
      </w:r>
      <w:r>
        <w:br/>
      </w:r>
      <w:r>
        <w:rPr>
          <w:rStyle w:val="VerbatimChar"/>
        </w:rPr>
        <w:t xml:space="preserve">THINK-ALOUD QUOTES (verbatim, timestamped)</w:t>
      </w:r>
      <w:r>
        <w:br/>
      </w:r>
      <w:r>
        <w:rPr>
          <w:rStyle w:val="VerbatimChar"/>
        </w:rPr>
        <w:t xml:space="preserve">- T=___  "___________________________________________"</w:t>
      </w:r>
      <w:r>
        <w:br/>
      </w:r>
      <w:r>
        <w:rPr>
          <w:rStyle w:val="VerbatimChar"/>
        </w:rPr>
        <w:t xml:space="preserve">- T=___  "___________________________________________"</w:t>
      </w:r>
      <w:r>
        <w:br/>
      </w:r>
      <w:r>
        <w:rPr>
          <w:rStyle w:val="VerbatimChar"/>
        </w:rPr>
        <w:t xml:space="preserve">- T=___  "___________________________________________"</w:t>
      </w:r>
      <w:r>
        <w:br/>
      </w:r>
      <w:r>
        <w:rPr>
          <w:rStyle w:val="VerbatimChar"/>
        </w:rPr>
        <w:t xml:space="preserve">- T=___  "___________________________________________"</w:t>
      </w:r>
    </w:p>
    <w:bookmarkEnd w:id="21"/>
    <w:bookmarkStart w:id="22" w:name="Xe1dbd120d743520eb5c81ad7c2c63d8f2f14d3d"/>
    <w:p>
      <w:pPr>
        <w:pStyle w:val="Heading3"/>
      </w:pPr>
      <w:r>
        <w:t xml:space="preserve">Expected phases (for observer reference only — do not impose)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39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typically happens</w:t>
            </w:r>
          </w:p>
        </w:tc>
        <w:tc>
          <w:tcPr/>
          <w:p>
            <w:pPr>
              <w:pStyle w:val="Compact"/>
            </w:pPr>
            <w:r>
              <w:t xml:space="preserve">Design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Onboarding</w:t>
            </w:r>
          </w:p>
        </w:tc>
        <w:tc>
          <w:tcPr/>
          <w:p>
            <w:pPr>
              <w:pStyle w:val="Compact"/>
            </w:pPr>
            <w:r>
              <w:t xml:space="preserve">Expert explores house, uses 5 senses, discovers maze</w:t>
            </w:r>
          </w:p>
        </w:tc>
        <w:tc>
          <w:tcPr/>
          <w:p>
            <w:pPr>
              <w:pStyle w:val="Compact"/>
            </w:pPr>
            <w:r>
              <w:t xml:space="preserve">Control fluency without gameplay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First death</w:t>
            </w:r>
          </w:p>
        </w:tc>
        <w:tc>
          <w:tcPr/>
          <w:p>
            <w:pPr>
              <w:pStyle w:val="Compact"/>
            </w:pPr>
            <w:r>
              <w:t xml:space="preserve">Tastes KCN or triggers cross-contamination</w:t>
            </w:r>
          </w:p>
        </w:tc>
        <w:tc>
          <w:tcPr/>
          <w:p>
            <w:pPr>
              <w:pStyle w:val="Compact"/>
            </w:pPr>
            <w:r>
              <w:t xml:space="preserve">Death as data — the moment the game’s premise becomes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Reflection</w:t>
            </w:r>
          </w:p>
        </w:tc>
        <w:tc>
          <w:tcPr/>
          <w:p>
            <w:pPr>
              <w:pStyle w:val="Compact"/>
            </w:pPr>
            <w:r>
              <w:t xml:space="preserve">Opens notebook, sees CER entry, possibly visits Tombstone</w:t>
            </w:r>
          </w:p>
        </w:tc>
        <w:tc>
          <w:tcPr/>
          <w:p>
            <w:pPr>
              <w:pStyle w:val="Compact"/>
            </w:pPr>
            <w:r>
              <w:t xml:space="preserve">Shift from</w:t>
            </w:r>
            <w:r>
              <w:t xml:space="preserve"> </w:t>
            </w:r>
            <w:r>
              <w:t xml:space="preserve">“what happened”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“why did it happen”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Second life</w:t>
            </w:r>
          </w:p>
        </w:tc>
        <w:tc>
          <w:tcPr/>
          <w:p>
            <w:pPr>
              <w:pStyle w:val="Compact"/>
            </w:pPr>
            <w:r>
              <w:t xml:space="preserve">Tests hypotheses — eats berry with clean hands, avoids powder, or investigates door handle</w:t>
            </w:r>
          </w:p>
        </w:tc>
        <w:tc>
          <w:tcPr/>
          <w:p>
            <w:pPr>
              <w:pStyle w:val="Compact"/>
            </w:pPr>
            <w:r>
              <w:t xml:space="preserve">Controlled-variable reasoning emerges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Articulation</w:t>
            </w:r>
          </w:p>
        </w:tc>
        <w:tc>
          <w:tcPr/>
          <w:p>
            <w:pPr>
              <w:pStyle w:val="Compact"/>
            </w:pPr>
            <w:r>
              <w:t xml:space="preserve">Writes or edits CER entries, submits claims</w:t>
            </w:r>
          </w:p>
        </w:tc>
        <w:tc>
          <w:tcPr/>
          <w:p>
            <w:pPr>
              <w:pStyle w:val="Compact"/>
            </w:pPr>
            <w:r>
              <w:t xml:space="preserve">Knowledge externalized as claim-evidence-reasoning</w:t>
            </w:r>
          </w:p>
        </w:tc>
      </w:tr>
    </w:tbl>
    <w:p>
      <w:pPr>
        <w:pStyle w:val="BodyText"/>
      </w:pPr>
      <w:r>
        <w:t xml:space="preserve">If an expert completes Phase 1–3 in their session, the walkthrough is sufficient. Phases 4–5 are bonus — they provide richer data but are not required.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213988bf620950b91e1b019f6d1b4035fee08d9"/>
    <w:p>
      <w:pPr>
        <w:pStyle w:val="Heading2"/>
      </w:pPr>
      <w:r>
        <w:t xml:space="preserve">6. Post-Walkthrough Interview (semi-structured)</w:t>
      </w:r>
    </w:p>
    <w:p>
      <w:pPr>
        <w:pStyle w:val="FirstParagraph"/>
      </w:pPr>
      <w:r>
        <w:t xml:space="preserve">Conduct immediately after play, while the experience is fresh. Record audio. Allow the expert to refer to the game (keep it open on screen).</w:t>
      </w:r>
    </w:p>
    <w:bookmarkStart w:id="24" w:name="block-a-open-ended-experience-5-min"/>
    <w:p>
      <w:pPr>
        <w:pStyle w:val="Heading3"/>
      </w:pPr>
      <w:r>
        <w:t xml:space="preserve">Block A — Open-ended experience (5 min)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“Describe what you just experienced.”</w:t>
      </w:r>
      <w:r>
        <w:t xml:space="preserve"> </w:t>
      </w:r>
      <w:r>
        <w:rPr>
          <w:i/>
          <w:iCs/>
        </w:rPr>
        <w:t xml:space="preserve">(Let them talk freely. Don’t prompt structure.)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“What did you find yourself trying to figure out?”</w:t>
      </w:r>
      <w:r>
        <w:t xml:space="preserve"> </w:t>
      </w:r>
      <w:r>
        <w:rPr>
          <w:i/>
          <w:iCs/>
        </w:rPr>
        <w:t xml:space="preserve">(Probes whether inquiry behavior emerged organically.)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“Was there a moment where something clicked — where you understood what the game was about?”</w:t>
      </w:r>
      <w:r>
        <w:t xml:space="preserve"> </w:t>
      </w:r>
      <w:r>
        <w:rPr>
          <w:i/>
          <w:iCs/>
        </w:rPr>
        <w:t xml:space="preserve">(Identifies the pedagogical turning point, if any.)</w:t>
      </w:r>
    </w:p>
    <w:bookmarkEnd w:id="24"/>
    <w:bookmarkStart w:id="25" w:name="block-b-death-and-inheritance-5-min"/>
    <w:p>
      <w:pPr>
        <w:pStyle w:val="Heading3"/>
      </w:pPr>
      <w:r>
        <w:t xml:space="preserve">Block B — Death and inheritance (5 min)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“How did you feel when your first character died?”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“When the second character arrived, did your approach change? How?”</w:t>
      </w:r>
      <w:r>
        <w:t xml:space="preserve"> </w:t>
      </w:r>
      <w:r>
        <w:rPr>
          <w:i/>
          <w:iCs/>
        </w:rPr>
        <w:t xml:space="preserve">(Probes whether death-as-data was perceived as a learning mechanism.)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“Did you look at the death records or gravestones? What did you take away from them?”</w:t>
      </w:r>
    </w:p>
    <w:bookmarkEnd w:id="25"/>
    <w:bookmarkStart w:id="26" w:name="X6cf69ae4de01a268c27354f7e7ddfb3eb732976"/>
    <w:p>
      <w:pPr>
        <w:pStyle w:val="Heading3"/>
      </w:pPr>
      <w:r>
        <w:t xml:space="preserve">Block C — CER Board and knowledge construction (5 min)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“Did you interact with the CER Board (the Claim/Evidence/Reasoning panel)? What was that like?”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“Did the scaffolded entries (the pre-filled ones) help or hinder your understanding of what to do?”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“If you were a student using this, how would you feel about writing your own claims?”</w:t>
      </w:r>
    </w:p>
    <w:bookmarkEnd w:id="26"/>
    <w:bookmarkStart w:id="27" w:name="block-d-tombstone-5-min"/>
    <w:p>
      <w:pPr>
        <w:pStyle w:val="Heading3"/>
      </w:pPr>
      <w:r>
        <w:t xml:space="preserve">Block D — Tombstone (5 min)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“Did you talk to the Tombstone? What did it say?”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“Did the Tombstone help you think differently about anything?”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“Was it frustrating that it never gave you a direct answer?”</w:t>
      </w:r>
    </w:p>
    <w:bookmarkEnd w:id="27"/>
    <w:bookmarkStart w:id="28" w:name="block-e-professional-judgment-5-min"/>
    <w:p>
      <w:pPr>
        <w:pStyle w:val="Heading3"/>
      </w:pPr>
      <w:r>
        <w:t xml:space="preserve">Block E — Professional judgment (5 min)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“As someone who works in [science education / game-based learning / teaching], what does this game get right about inquiry?”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“What does it get wrong, or what’s missing?”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“Would you use this with learners? Under what conditions?”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“How does this compare to other inquiry-based learning tools or games you’ve seen?”</w:t>
      </w:r>
    </w:p>
    <w:bookmarkEnd w:id="28"/>
    <w:bookmarkStart w:id="29" w:name="block-f-suggestions-3-min"/>
    <w:p>
      <w:pPr>
        <w:pStyle w:val="Heading3"/>
      </w:pPr>
      <w:r>
        <w:t xml:space="preserve">Block F — Suggestions (3 min)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“If you could change one thing about the game, what would it be?”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“Is there anything you expected to find in the game but didn’t?”</w:t>
      </w:r>
    </w:p>
    <w:bookmarkEnd w:id="29"/>
    <w:bookmarkStart w:id="30" w:name="closing"/>
    <w:p>
      <w:pPr>
        <w:pStyle w:val="Heading3"/>
      </w:pPr>
      <w:r>
        <w:t xml:space="preserve">Closing</w:t>
      </w:r>
    </w:p>
    <w:p>
      <w:pPr>
        <w:pStyle w:val="BlockText"/>
      </w:pPr>
      <w:r>
        <w:t xml:space="preserve">“Thank you. Your feedback will be cited in the paper. Would you like to be acknowledged by name, or would you prefer to remain anonymous?”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-collection-summary"/>
    <w:p>
      <w:pPr>
        <w:pStyle w:val="Heading2"/>
      </w:pPr>
      <w:r>
        <w:t xml:space="preserve">7. Data Collection Summary</w:t>
      </w:r>
    </w:p>
    <w:p>
      <w:pPr>
        <w:pStyle w:val="FirstParagraph"/>
      </w:pPr>
      <w:r>
        <w:t xml:space="preserve">Each expert session produces the following artifacts: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Use in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recording</w:t>
            </w:r>
          </w:p>
        </w:tc>
        <w:tc>
          <w:tcPr/>
          <w:p>
            <w:pPr>
              <w:pStyle w:val="Compact"/>
            </w:pPr>
            <w:r>
              <w:t xml:space="preserve">Video file (MP4)</w:t>
            </w:r>
          </w:p>
        </w:tc>
        <w:tc>
          <w:tcPr/>
          <w:p>
            <w:pPr>
              <w:pStyle w:val="Compact"/>
            </w:pPr>
            <w:r>
              <w:t xml:space="preserve">Supplementary material; screenshots for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Think-aloud transcript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Verbatim quotes in Results; thematic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notes</w:t>
            </w:r>
          </w:p>
        </w:tc>
        <w:tc>
          <w:tcPr/>
          <w:p>
            <w:pPr>
              <w:pStyle w:val="Compact"/>
            </w:pPr>
            <w:r>
              <w:t xml:space="preserve">Filled template from §5</w:t>
            </w:r>
          </w:p>
        </w:tc>
        <w:tc>
          <w:tcPr/>
          <w:p>
            <w:pPr>
              <w:pStyle w:val="Compact"/>
            </w:pPr>
            <w:r>
              <w:t xml:space="preserve">Gameplay path mapping; event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transcript</w:t>
            </w:r>
          </w:p>
        </w:tc>
        <w:tc>
          <w:tcPr/>
          <w:p>
            <w:pPr>
              <w:pStyle w:val="Compact"/>
            </w:pPr>
            <w:r>
              <w:t xml:space="preserve">Text (from audio recording)</w:t>
            </w:r>
          </w:p>
        </w:tc>
        <w:tc>
          <w:tcPr/>
          <w:p>
            <w:pPr>
              <w:pStyle w:val="Compact"/>
            </w:pPr>
            <w:r>
              <w:t xml:space="preserve">Thematic analysis in Results; direct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 entries produced</w:t>
            </w:r>
          </w:p>
        </w:tc>
        <w:tc>
          <w:tcPr/>
          <w:p>
            <w:pPr>
              <w:pStyle w:val="Compact"/>
            </w:pPr>
            <w:r>
              <w:t xml:space="preserve">Extracted from game or screenshot</w:t>
            </w:r>
          </w:p>
        </w:tc>
        <w:tc>
          <w:tcPr/>
          <w:p>
            <w:pPr>
              <w:pStyle w:val="Compact"/>
            </w:pPr>
            <w:r>
              <w:t xml:space="preserve">Figures showing knowledge construction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validated</w:t>
            </w:r>
          </w:p>
        </w:tc>
        <w:tc>
          <w:tcPr/>
          <w:p>
            <w:pPr>
              <w:pStyle w:val="Compact"/>
            </w:pPr>
            <w:r>
              <w:t xml:space="preserve">List of claim IDs validated during session</w:t>
            </w:r>
          </w:p>
        </w:tc>
        <w:tc>
          <w:tcPr/>
          <w:p>
            <w:pPr>
              <w:pStyle w:val="Compact"/>
            </w:pPr>
            <w:r>
              <w:t xml:space="preserve">Evidence that the validation system is accessible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analysis-framework"/>
    <w:p>
      <w:pPr>
        <w:pStyle w:val="Heading2"/>
      </w:pPr>
      <w:r>
        <w:t xml:space="preserve">8. Analysis Framework</w:t>
      </w:r>
    </w:p>
    <w:bookmarkStart w:id="33" w:name="gameplay-path-mapping"/>
    <w:p>
      <w:pPr>
        <w:pStyle w:val="Heading3"/>
      </w:pPr>
      <w:r>
        <w:t xml:space="preserve">8.1 Gameplay path mapping</w:t>
      </w:r>
    </w:p>
    <w:p>
      <w:pPr>
        <w:pStyle w:val="FirstParagraph"/>
      </w:pPr>
      <w:r>
        <w:t xml:space="preserve">For each expert, construct a timeline:</w:t>
      </w:r>
      <w:r>
        <w:t xml:space="preserve"> </w:t>
      </w:r>
      <w:r>
        <w:rPr>
          <w:rStyle w:val="VerbatimChar"/>
        </w:rPr>
        <w:t xml:space="preserve">onboarding → first sense → first death → notebook open → CER interaction → Tombstone visit → second life actions → claims validated</w:t>
      </w:r>
      <w:r>
        <w:t xml:space="preserve">. Compare across experts.</w:t>
      </w:r>
    </w:p>
    <w:p>
      <w:pPr>
        <w:pStyle w:val="BodyText"/>
      </w:pPr>
      <w:r>
        <w:rPr>
          <w:b/>
          <w:bCs/>
        </w:rPr>
        <w:t xml:space="preserve">Report in the paper</w:t>
      </w:r>
      <w:r>
        <w:t xml:space="preserve">: a table or figure showing the sequence and timing of key events for each expert. Highlight convergences (most experts discovered X first) and divergences (Expert 2 never visited the Tombstone).</w:t>
      </w:r>
    </w:p>
    <w:bookmarkEnd w:id="33"/>
    <w:bookmarkStart w:id="34" w:name="Xe4e9510b412277ff356cd50fc15afe78158db71"/>
    <w:p>
      <w:pPr>
        <w:pStyle w:val="Heading3"/>
      </w:pPr>
      <w:r>
        <w:t xml:space="preserve">8.2 Thematic analysis of think-aloud and interview</w:t>
      </w:r>
    </w:p>
    <w:p>
      <w:pPr>
        <w:pStyle w:val="FirstParagraph"/>
      </w:pPr>
      <w:r>
        <w:t xml:space="preserve">Code the transcripts using these</w:t>
      </w:r>
      <w:r>
        <w:t xml:space="preserve"> </w:t>
      </w:r>
      <w:r>
        <w:rPr>
          <w:b/>
          <w:bCs/>
        </w:rPr>
        <w:t xml:space="preserve">a priori themes</w:t>
      </w:r>
      <w:r>
        <w:t xml:space="preserve"> </w:t>
      </w:r>
      <w:r>
        <w:t xml:space="preserve">derived from the design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quote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Productive failure</w:t>
            </w:r>
          </w:p>
        </w:tc>
        <w:tc>
          <w:tcPr/>
          <w:p>
            <w:pPr>
              <w:pStyle w:val="Compact"/>
            </w:pPr>
            <w:r>
              <w:t xml:space="preserve">Expert describes learning from death/failure as a positive mechanism</w:t>
            </w:r>
          </w:p>
        </w:tc>
        <w:tc>
          <w:tcPr/>
          <w:p>
            <w:pPr>
              <w:pStyle w:val="Compact"/>
            </w:pPr>
            <w:r>
              <w:t xml:space="preserve">“When Alice died, I immediately wanted to know why”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Inquiry behavior</w:t>
            </w:r>
          </w:p>
        </w:tc>
        <w:tc>
          <w:tcPr/>
          <w:p>
            <w:pPr>
              <w:pStyle w:val="Compact"/>
            </w:pPr>
            <w:r>
              <w:t xml:space="preserve">Expert spontaneously generates a hypothesis, test, or investigation plan</w:t>
            </w:r>
          </w:p>
        </w:tc>
        <w:tc>
          <w:tcPr/>
          <w:p>
            <w:pPr>
              <w:pStyle w:val="Compact"/>
            </w:pPr>
            <w:r>
              <w:t xml:space="preserve">“I wonder if the door handle is contaminated”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Intrinsic integration</w:t>
            </w:r>
          </w:p>
        </w:tc>
        <w:tc>
          <w:tcPr/>
          <w:p>
            <w:pPr>
              <w:pStyle w:val="Compact"/>
            </w:pPr>
            <w:r>
              <w:t xml:space="preserve">Expert notes that understanding the world IS the gameplay, not layered on top</w:t>
            </w:r>
          </w:p>
        </w:tc>
        <w:tc>
          <w:tcPr/>
          <w:p>
            <w:pPr>
              <w:pStyle w:val="Compact"/>
            </w:pPr>
            <w:r>
              <w:t xml:space="preserve">“You can’t progress without figuring out the science”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 formulation</w:t>
            </w:r>
          </w:p>
        </w:tc>
        <w:tc>
          <w:tcPr/>
          <w:p>
            <w:pPr>
              <w:pStyle w:val="Compact"/>
            </w:pPr>
            <w:r>
              <w:t xml:space="preserve">Expert shifts from reaction to investigable question, possibly mediated by Tombstone</w:t>
            </w:r>
          </w:p>
        </w:tc>
        <w:tc>
          <w:tcPr/>
          <w:p>
            <w:pPr>
              <w:pStyle w:val="Compact"/>
            </w:pPr>
            <w:r>
              <w:t xml:space="preserve">“The Tombstone made me rethink my assumption”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articulation</w:t>
            </w:r>
          </w:p>
        </w:tc>
        <w:tc>
          <w:tcPr/>
          <w:p>
            <w:pPr>
              <w:pStyle w:val="Compact"/>
            </w:pPr>
            <w:r>
              <w:t xml:space="preserve">Expert engages with CER Board as a reasoning tool, not just a form</w:t>
            </w:r>
          </w:p>
        </w:tc>
        <w:tc>
          <w:tcPr/>
          <w:p>
            <w:pPr>
              <w:pStyle w:val="Compact"/>
            </w:pPr>
            <w:r>
              <w:t xml:space="preserve">“Writing the reasoning forced me to think about whether my evidence was sufficient”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Frustration / confusion</w:t>
            </w:r>
          </w:p>
        </w:tc>
        <w:tc>
          <w:tcPr/>
          <w:p>
            <w:pPr>
              <w:pStyle w:val="Compact"/>
            </w:pPr>
            <w:r>
              <w:t xml:space="preserve">Expert encounters a barrier that the design did not intend</w:t>
            </w:r>
          </w:p>
        </w:tc>
        <w:tc>
          <w:tcPr/>
          <w:p>
            <w:pPr>
              <w:pStyle w:val="Compact"/>
            </w:pPr>
            <w:r>
              <w:t xml:space="preserve">“I didn’t know the buttons existed”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suggestion</w:t>
            </w:r>
          </w:p>
        </w:tc>
        <w:tc>
          <w:tcPr/>
          <w:p>
            <w:pPr>
              <w:pStyle w:val="Compact"/>
            </w:pPr>
            <w:r>
              <w:t xml:space="preserve">Expert proposes a concrete improvement</w:t>
            </w:r>
          </w:p>
        </w:tc>
        <w:tc>
          <w:tcPr/>
          <w:p>
            <w:pPr>
              <w:pStyle w:val="Compact"/>
            </w:pPr>
            <w:r>
              <w:t xml:space="preserve">“The berry should change more visibly over time”</w:t>
            </w:r>
          </w:p>
        </w:tc>
      </w:tr>
    </w:tbl>
    <w:p>
      <w:pPr>
        <w:pStyle w:val="BodyText"/>
      </w:pPr>
      <w:r>
        <w:t xml:space="preserve">Allow</w:t>
      </w:r>
      <w:r>
        <w:t xml:space="preserve"> </w:t>
      </w:r>
      <w:r>
        <w:rPr>
          <w:b/>
          <w:bCs/>
        </w:rPr>
        <w:t xml:space="preserve">emergent themes</w:t>
      </w:r>
      <w:r>
        <w:t xml:space="preserve"> </w:t>
      </w:r>
      <w:r>
        <w:t xml:space="preserve">to surface during coding. Two passes: first pass for a priori codes, second pass for anything that doesn’t fit.</w:t>
      </w:r>
    </w:p>
    <w:bookmarkEnd w:id="34"/>
    <w:bookmarkStart w:id="35" w:name="design-alignment-assessment"/>
    <w:p>
      <w:pPr>
        <w:pStyle w:val="Heading3"/>
      </w:pPr>
      <w:r>
        <w:t xml:space="preserve">8.3 Design alignment assessment</w:t>
      </w:r>
    </w:p>
    <w:p>
      <w:pPr>
        <w:pStyle w:val="FirstParagraph"/>
      </w:pPr>
      <w:r>
        <w:t xml:space="preserve">For each design claim in the GDD (§2 Design Philosophy, §12 Onboarding), assess whether the expert walkthrough data supports or challenges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256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claim</w:t>
            </w:r>
          </w:p>
        </w:tc>
        <w:tc>
          <w:tcPr/>
          <w:p>
            <w:pPr>
              <w:pStyle w:val="Compact"/>
            </w:pPr>
            <w:r>
              <w:t xml:space="preserve">Supported?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“Death is data”</w:t>
            </w:r>
            <w:r>
              <w:t xml:space="preserve"> </w:t>
            </w:r>
            <w:r>
              <w:t xml:space="preserve">is perceived as a learning mechanic, not punishment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Expert quotes from Q4–Q5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teaches controls without teaching gameplay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Observer notes on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 scaffolding guides without dictating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Expert response to Q8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Tombstone promotes question formulation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Expert response to Q10–Q12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14-claim tiers reflect increasing cognitive demand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Claims reached vs. expert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reporting-in-the-paper"/>
    <w:p>
      <w:pPr>
        <w:pStyle w:val="Heading2"/>
      </w:pPr>
      <w:r>
        <w:t xml:space="preserve">9. Reporting in the Paper</w:t>
      </w:r>
    </w:p>
    <w:bookmarkStart w:id="37" w:name="methodology-section"/>
    <w:p>
      <w:pPr>
        <w:pStyle w:val="Heading3"/>
      </w:pPr>
      <w:r>
        <w:t xml:space="preserve">Methodology section</w:t>
      </w:r>
    </w:p>
    <w:p>
      <w:pPr>
        <w:pStyle w:val="BlockText"/>
      </w:pPr>
      <w:r>
        <w:t xml:space="preserve">“Three experts in [science education / game-based learning] completed individual walkthrough sessions of the prototype. Each session consisted of 20–25 minutes of gameplay with concurrent think-aloud, followed by an 18-question semi-structured interview. Sessions were screen-recorded and transcribed. Observer notes captured timestamped gameplay events. Data were analyzed using thematic analysis with a priori codes derived from the design framework (Kapur, 2016; Habgood &amp; Ainsworth, 2011), supplemented by emergent themes.”</w:t>
      </w:r>
    </w:p>
    <w:bookmarkEnd w:id="37"/>
    <w:bookmarkStart w:id="38" w:name="results-section"/>
    <w:p>
      <w:pPr>
        <w:pStyle w:val="Heading3"/>
      </w:pPr>
      <w:r>
        <w:t xml:space="preserve">Results section</w:t>
      </w:r>
    </w:p>
    <w:p>
      <w:pPr>
        <w:pStyle w:val="FirstParagraph"/>
      </w:pPr>
      <w:r>
        <w:t xml:space="preserve">Structure around the five a priori themes:</w:t>
      </w:r>
      <w:r>
        <w:t xml:space="preserve"> </w:t>
      </w:r>
      <w:r>
        <w:t xml:space="preserve">1. Evidence of productive failure perception</w:t>
      </w:r>
      <w:r>
        <w:t xml:space="preserve"> </w:t>
      </w:r>
      <w:r>
        <w:t xml:space="preserve">2. Evidence of spontaneous inquiry behavior</w:t>
      </w:r>
      <w:r>
        <w:t xml:space="preserve"> </w:t>
      </w:r>
      <w:r>
        <w:t xml:space="preserve">3. Evidence of intrinsic integration recognition</w:t>
      </w:r>
      <w:r>
        <w:t xml:space="preserve"> </w:t>
      </w:r>
      <w:r>
        <w:t xml:space="preserve">4. CER Board as knowledge construction tool</w:t>
      </w:r>
      <w:r>
        <w:t xml:space="preserve"> </w:t>
      </w:r>
      <w:r>
        <w:t xml:space="preserve">5. Tombstone as question-formulation scaffold</w:t>
      </w:r>
    </w:p>
    <w:p>
      <w:pPr>
        <w:pStyle w:val="BodyText"/>
      </w:pPr>
      <w:r>
        <w:t xml:space="preserve">Each theme: 2–3 expert quotes + observer note evidence + design alignment assessment.</w:t>
      </w:r>
    </w:p>
    <w:bookmarkEnd w:id="38"/>
    <w:bookmarkStart w:id="39" w:name="limitations-preempt-reviewer-objections"/>
    <w:p>
      <w:pPr>
        <w:pStyle w:val="Heading3"/>
      </w:pPr>
      <w:r>
        <w:t xml:space="preserve">Limitations (preempt reviewer objections)</w:t>
      </w:r>
    </w:p>
    <w:p>
      <w:pPr>
        <w:pStyle w:val="Compact"/>
        <w:numPr>
          <w:ilvl w:val="0"/>
          <w:numId w:val="1015"/>
        </w:numPr>
      </w:pPr>
      <w:r>
        <w:t xml:space="preserve">Small expert sample (N=3) — sufficient for design validation, not generalizable</w:t>
      </w:r>
    </w:p>
    <w:p>
      <w:pPr>
        <w:pStyle w:val="Compact"/>
        <w:numPr>
          <w:ilvl w:val="0"/>
          <w:numId w:val="1015"/>
        </w:numPr>
      </w:pPr>
      <w:r>
        <w:t xml:space="preserve">No learner data — cannot claim learning outcomes</w:t>
      </w:r>
    </w:p>
    <w:p>
      <w:pPr>
        <w:pStyle w:val="Compact"/>
        <w:numPr>
          <w:ilvl w:val="0"/>
          <w:numId w:val="1015"/>
        </w:numPr>
      </w:pPr>
      <w:r>
        <w:t xml:space="preserve">Offline Tombstone mode limits evaluation of the AI scaffolding quality</w:t>
      </w:r>
    </w:p>
    <w:p>
      <w:pPr>
        <w:pStyle w:val="Compact"/>
        <w:numPr>
          <w:ilvl w:val="0"/>
          <w:numId w:val="1015"/>
        </w:numPr>
      </w:pPr>
      <w:r>
        <w:t xml:space="preserve">Single-session walkthrough — does not capture long-term inquiry development across multiple sessions</w:t>
      </w:r>
    </w:p>
    <w:p>
      <w:pPr>
        <w:pStyle w:val="Compact"/>
        <w:numPr>
          <w:ilvl w:val="0"/>
          <w:numId w:val="1015"/>
        </w:numPr>
      </w:pPr>
      <w:r>
        <w:t xml:space="preserve">Expert behavior may not represent novice learner behavior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imeline"/>
    <w:p>
      <w:pPr>
        <w:pStyle w:val="Heading2"/>
      </w:pPr>
      <w:r>
        <w:t xml:space="preserve">10.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Recruit experts, schedule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Conduct 3 walkthrough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Transcribe recordings, fill analysis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Thematic coding + design alignment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Draft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Expert review of draft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Submit to IJSG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x-a-equipment-checklist"/>
    <w:p>
      <w:pPr>
        <w:pStyle w:val="Heading2"/>
      </w:pPr>
      <w:r>
        <w:t xml:space="preserve">Appendix A — Equipment Checklist</w:t>
      </w:r>
    </w:p>
    <w:p>
      <w:pPr>
        <w:pStyle w:val="SourceCode"/>
      </w:pPr>
      <w:r>
        <w:rPr>
          <w:rStyle w:val="VerbatimChar"/>
        </w:rPr>
        <w:t xml:space="preserve">[ ] Laptop/phone charged</w:t>
      </w:r>
      <w:r>
        <w:br/>
      </w:r>
      <w:r>
        <w:rPr>
          <w:rStyle w:val="VerbatimChar"/>
        </w:rPr>
        <w:t xml:space="preserve">[ ] Browser cache cleared for game URL</w:t>
      </w:r>
      <w:r>
        <w:br/>
      </w:r>
      <w:r>
        <w:rPr>
          <w:rStyle w:val="VerbatimChar"/>
        </w:rPr>
        <w:t xml:space="preserve">[ ] config.local.js with valid API key (if using local server)</w:t>
      </w:r>
      <w:r>
        <w:br/>
      </w:r>
      <w:r>
        <w:rPr>
          <w:rStyle w:val="VerbatimChar"/>
        </w:rPr>
        <w:t xml:space="preserve">[ ] OBS / QuickTime / screen recorder ready</w:t>
      </w:r>
      <w:r>
        <w:br/>
      </w:r>
      <w:r>
        <w:rPr>
          <w:rStyle w:val="VerbatimChar"/>
        </w:rPr>
        <w:t xml:space="preserve">[ ] External microphone (or device mic confirmed working)</w:t>
      </w:r>
      <w:r>
        <w:br/>
      </w:r>
      <w:r>
        <w:rPr>
          <w:rStyle w:val="VerbatimChar"/>
        </w:rPr>
        <w:t xml:space="preserve">[ ] Printed observer notes template (1 per expert)</w:t>
      </w:r>
      <w:r>
        <w:br/>
      </w:r>
      <w:r>
        <w:rPr>
          <w:rStyle w:val="VerbatimChar"/>
        </w:rPr>
        <w:t xml:space="preserve">[ ] Printed interview questions (1 copy for interviewer)</w:t>
      </w:r>
      <w:r>
        <w:br/>
      </w:r>
      <w:r>
        <w:rPr>
          <w:rStyle w:val="VerbatimChar"/>
        </w:rPr>
        <w:t xml:space="preserve">[ ] Consent-to-record verbal confirmation (not IRB — just courtesy)</w:t>
      </w:r>
      <w:r>
        <w:br/>
      </w:r>
      <w:r>
        <w:rPr>
          <w:rStyle w:val="VerbatimChar"/>
        </w:rPr>
        <w:t xml:space="preserve">[ ] Water for expert</w:t>
      </w:r>
      <w:r>
        <w:br/>
      </w:r>
      <w:r>
        <w:rPr>
          <w:rStyle w:val="VerbatimChar"/>
        </w:rPr>
        <w:t xml:space="preserve">[ ] Timer / clock visible to observer</w:t>
      </w:r>
    </w:p>
    <w:bookmarkEnd w:id="42"/>
    <w:bookmarkStart w:id="43" w:name="appendix-b-expert-information-sheet"/>
    <w:p>
      <w:pPr>
        <w:pStyle w:val="Heading2"/>
      </w:pPr>
      <w:r>
        <w:t xml:space="preserve">Appendix B — Expert Information Sheet</w:t>
      </w:r>
    </w:p>
    <w:p>
      <w:pPr>
        <w:pStyle w:val="FirstParagraph"/>
      </w:pPr>
      <w:r>
        <w:t xml:space="preserve">Provide this one-pager to experts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walkthrough (not before):</w:t>
      </w:r>
    </w:p>
    <w:p>
      <w:pPr>
        <w:pStyle w:val="BlockText"/>
      </w:pPr>
      <w:r>
        <w:rPr>
          <w:b/>
          <w:bCs/>
        </w:rPr>
        <w:t xml:space="preserve">About </w:t>
      </w:r>
      <w:r>
        <w:rPr>
          <w:rFonts w:hint="eastAsia"/>
          <w:b/>
          <w:bCs/>
        </w:rPr>
        <w:t xml:space="preserve">神农堂</w:t>
      </w:r>
      <w:r>
        <w:rPr>
          <w:b/>
          <w:bCs/>
        </w:rPr>
        <w:t xml:space="preserve"> (Shennong Hall)</w:t>
      </w:r>
    </w:p>
    <w:p>
      <w:pPr>
        <w:pStyle w:val="BlockText"/>
      </w:pPr>
      <w:r>
        <w:rPr>
          <w:rFonts w:hint="eastAsia"/>
        </w:rPr>
        <w:t xml:space="preserve">神农堂</w:t>
      </w:r>
      <w:r>
        <w:t xml:space="preserve"> is a browser-based serious game for scientific inquiry learning. Players explore Universe 647 — a world governed by internally consistent but initially unknown rules — through five-sense interaction. Death is not punishment; it is data. Each death generates a record that becomes raw material for the next explorer’s investigation.</w:t>
      </w:r>
    </w:p>
    <w:p>
      <w:pPr>
        <w:pStyle w:val="BlockText"/>
      </w:pPr>
      <w:r>
        <w:t xml:space="preserve">The game operationalizes the full arc of scientific inquiry: from naive exploration, through question formulation (mediated by an AI Tombstone), to hypothesis testing and knowledge construction (via a Claim–Evidence–Reasoning Board). The design draws on Productive Failure (Kapur, 2016), Intrinsic Integration (Habgood &amp; Ainsworth, 2011), and Exploratory Learning Environments.</w:t>
      </w:r>
    </w:p>
    <w:p>
      <w:pPr>
        <w:pStyle w:val="BlockText"/>
      </w:pPr>
      <w:r>
        <w:t xml:space="preserve">The game contains 14 discoverable knowledge claims organized in 6 tiers of increasing cognitive complexity, from single-sensory observation to cross-domain knowledge transfer.</w:t>
      </w:r>
    </w:p>
    <w:p>
      <w:pPr>
        <w:pStyle w:val="BlockText"/>
      </w:pPr>
      <w:r>
        <w:t xml:space="preserve">Your feedback will be used in a design paper submitted to the International Journal of Serious Games. Thank you for your time.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2026-04-16T13:31:40Z</dcterms:created>
  <dcterms:modified xsi:type="dcterms:W3CDTF">2026-04-16T13:31:40Z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