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A5F"/>
          <w:sz w:val="52"/>
        </w:rPr>
        <w:t>CAHIER DES CHARGES</w:t>
      </w:r>
    </w:p>
    <w:p>
      <w:pPr>
        <w:jc w:val="center"/>
      </w:pPr>
      <w:r>
        <w:rPr>
          <w:b/>
          <w:color w:val="1F6E8C"/>
          <w:sz w:val="34"/>
        </w:rPr>
        <w:t>Studio de production de visuels et vidéos pédagogiques pour Academia</w:t>
      </w:r>
    </w:p>
    <w:p>
      <w:pPr>
        <w:jc w:val="center"/>
      </w:pPr>
      <w:r>
        <w:rPr>
          <w:sz w:val="28"/>
        </w:rPr>
        <w:t>Architecture LWS Worker ↔ RunPod GPU</w:t>
      </w:r>
    </w:p>
    <w:p>
      <w:r>
        <w:br/>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6E8C"/>
            <w:vAlign w:val="center"/>
          </w:tcPr>
          <w:p>
            <w:r>
              <w:rPr>
                <w:b/>
                <w:color w:val="FFFFFF"/>
                <w:sz w:val="18"/>
              </w:rPr>
              <w:t>Élément</w:t>
            </w:r>
          </w:p>
        </w:tc>
        <w:tc>
          <w:tcPr>
            <w:tcW w:type="dxa" w:w="7632"/>
            <w:shd w:fill="1F6E8C"/>
            <w:vAlign w:val="center"/>
          </w:tcPr>
          <w:p>
            <w:r>
              <w:rPr>
                <w:b/>
                <w:color w:val="FFFFFF"/>
                <w:sz w:val="18"/>
              </w:rPr>
              <w:t>Valeur</w:t>
            </w:r>
          </w:p>
        </w:tc>
      </w:tr>
      <w:tr>
        <w:tc>
          <w:tcPr>
            <w:tcW w:type="dxa" w:w="2880"/>
            <w:vAlign w:val="top"/>
          </w:tcPr>
          <w:p>
            <w:pPr>
              <w:spacing w:after="40"/>
            </w:pPr>
            <w:r>
              <w:rPr>
                <w:sz w:val="17"/>
              </w:rPr>
              <w:t>Commanditaire</w:t>
            </w:r>
          </w:p>
        </w:tc>
        <w:tc>
          <w:tcPr>
            <w:tcW w:type="dxa" w:w="7632"/>
            <w:vAlign w:val="top"/>
          </w:tcPr>
          <w:p>
            <w:pPr>
              <w:spacing w:after="40"/>
            </w:pPr>
            <w:r>
              <w:rPr>
                <w:sz w:val="17"/>
              </w:rPr>
              <w:t>Nexiom Group</w:t>
            </w:r>
          </w:p>
        </w:tc>
      </w:tr>
      <w:tr>
        <w:tc>
          <w:tcPr>
            <w:tcW w:type="dxa" w:w="2880"/>
            <w:vAlign w:val="top"/>
          </w:tcPr>
          <w:p>
            <w:pPr>
              <w:spacing w:after="40"/>
            </w:pPr>
            <w:r>
              <w:rPr>
                <w:sz w:val="17"/>
              </w:rPr>
              <w:t>Plateforme bénéficiaire</w:t>
            </w:r>
          </w:p>
        </w:tc>
        <w:tc>
          <w:tcPr>
            <w:tcW w:type="dxa" w:w="7632"/>
            <w:vAlign w:val="top"/>
          </w:tcPr>
          <w:p>
            <w:pPr>
              <w:spacing w:after="40"/>
            </w:pPr>
            <w:r>
              <w:rPr>
                <w:sz w:val="17"/>
              </w:rPr>
              <w:t>Academia</w:t>
            </w:r>
          </w:p>
        </w:tc>
      </w:tr>
      <w:tr>
        <w:tc>
          <w:tcPr>
            <w:tcW w:type="dxa" w:w="2880"/>
            <w:vAlign w:val="top"/>
          </w:tcPr>
          <w:p>
            <w:pPr>
              <w:spacing w:after="40"/>
            </w:pPr>
            <w:r>
              <w:rPr>
                <w:sz w:val="17"/>
              </w:rPr>
              <w:t>Objet</w:t>
            </w:r>
          </w:p>
        </w:tc>
        <w:tc>
          <w:tcPr>
            <w:tcW w:type="dxa" w:w="7632"/>
            <w:vAlign w:val="top"/>
          </w:tcPr>
          <w:p>
            <w:pPr>
              <w:spacing w:after="40"/>
            </w:pPr>
            <w:r>
              <w:rPr>
                <w:sz w:val="17"/>
              </w:rPr>
              <w:t>Mise en place d’une chaîne maîtrisée de création, rendu, montage et validation de contenus visuels</w:t>
            </w:r>
          </w:p>
        </w:tc>
      </w:tr>
      <w:tr>
        <w:tc>
          <w:tcPr>
            <w:tcW w:type="dxa" w:w="2880"/>
            <w:vAlign w:val="top"/>
          </w:tcPr>
          <w:p>
            <w:pPr>
              <w:spacing w:after="40"/>
            </w:pPr>
            <w:r>
              <w:rPr>
                <w:sz w:val="17"/>
              </w:rPr>
              <w:t>Infrastructure principale</w:t>
            </w:r>
          </w:p>
        </w:tc>
        <w:tc>
          <w:tcPr>
            <w:tcW w:type="dxa" w:w="7632"/>
            <w:vAlign w:val="top"/>
          </w:tcPr>
          <w:p>
            <w:pPr>
              <w:spacing w:after="40"/>
            </w:pPr>
            <w:r>
              <w:rPr>
                <w:sz w:val="17"/>
              </w:rPr>
              <w:t>Serveur LWS : orchestration, stockage, file d’attente, suivi et validation</w:t>
            </w:r>
          </w:p>
        </w:tc>
      </w:tr>
      <w:tr>
        <w:tc>
          <w:tcPr>
            <w:tcW w:type="dxa" w:w="2880"/>
            <w:vAlign w:val="top"/>
          </w:tcPr>
          <w:p>
            <w:pPr>
              <w:spacing w:after="40"/>
            </w:pPr>
            <w:r>
              <w:rPr>
                <w:sz w:val="17"/>
              </w:rPr>
              <w:t>Infrastructure de calcul</w:t>
            </w:r>
          </w:p>
        </w:tc>
        <w:tc>
          <w:tcPr>
            <w:tcW w:type="dxa" w:w="7632"/>
            <w:vAlign w:val="top"/>
          </w:tcPr>
          <w:p>
            <w:pPr>
              <w:spacing w:after="40"/>
            </w:pPr>
            <w:r>
              <w:rPr>
                <w:sz w:val="17"/>
              </w:rPr>
              <w:t>RunPod : GPU à la demande pour ComfyUI, Blender et traitements lourds</w:t>
            </w:r>
          </w:p>
        </w:tc>
      </w:tr>
      <w:tr>
        <w:tc>
          <w:tcPr>
            <w:tcW w:type="dxa" w:w="2880"/>
            <w:vAlign w:val="top"/>
          </w:tcPr>
          <w:p>
            <w:pPr>
              <w:spacing w:after="40"/>
            </w:pPr>
            <w:r>
              <w:rPr>
                <w:sz w:val="17"/>
              </w:rPr>
              <w:t>Statut du document</w:t>
            </w:r>
          </w:p>
        </w:tc>
        <w:tc>
          <w:tcPr>
            <w:tcW w:type="dxa" w:w="7632"/>
            <w:vAlign w:val="top"/>
          </w:tcPr>
          <w:p>
            <w:pPr>
              <w:spacing w:after="40"/>
            </w:pPr>
            <w:r>
              <w:rPr>
                <w:sz w:val="17"/>
              </w:rPr>
              <w:t>Version de cadrage technique et créatif - à valider avant déploiement</w:t>
            </w:r>
          </w:p>
        </w:tc>
      </w:tr>
      <w:tr>
        <w:tc>
          <w:tcPr>
            <w:tcW w:type="dxa" w:w="2880"/>
            <w:vAlign w:val="top"/>
          </w:tcPr>
          <w:p>
            <w:pPr>
              <w:spacing w:after="40"/>
            </w:pPr>
            <w:r>
              <w:rPr>
                <w:sz w:val="17"/>
              </w:rPr>
              <w:t>Date</w:t>
            </w:r>
          </w:p>
        </w:tc>
        <w:tc>
          <w:tcPr>
            <w:tcW w:type="dxa" w:w="7632"/>
            <w:vAlign w:val="top"/>
          </w:tcPr>
          <w:p>
            <w:pPr>
              <w:spacing w:after="40"/>
            </w:pPr>
            <w:r>
              <w:rPr>
                <w:sz w:val="17"/>
              </w:rPr>
              <w:t>29 juillet 2026</w:t>
            </w:r>
          </w:p>
        </w:tc>
      </w:tr>
    </w:tbl>
    <w:p/>
    <w:p>
      <w:pPr>
        <w:pStyle w:val="IntenseQuote"/>
      </w:pPr>
      <w:r>
        <w:t>Aucune diffusion, publication ou action externe ne doit être déclenchée automatiquement. Tout contenu produit reste en brouillon jusqu’à validation explicite.</w:t>
      </w:r>
    </w:p>
    <w:p>
      <w:r>
        <w:br w:type="page"/>
      </w:r>
    </w:p>
    <w:p>
      <w:pPr>
        <w:pStyle w:val="Heading1"/>
      </w:pPr>
      <w:r>
        <w:t>1. Objet du cahier des charges</w:t>
      </w:r>
    </w:p>
    <w:p>
      <w:r>
        <w:t>Le présent cahier des charges définit le type de contenus visuels à produire pour Academia, la chaîne technique nécessaire à leur génération et les échanges entre le serveur LWS et une ressource GPU RunPod. L’objectif est de reproduire l’esprit de la vidéo de référence analysée : une vidéo pédagogique verticale, visuellement immersive, basée sur une narration courte et une animation 3D ou 2,5D procédurale, sans dépendre d’abonnements créatifs lourds.</w:t>
      </w:r>
    </w:p>
    <w:p>
      <w:pPr>
        <w:pStyle w:val="Heading1"/>
      </w:pPr>
      <w:r>
        <w:t>2. Objectifs</w:t>
      </w:r>
    </w:p>
    <w:p>
      <w:pPr>
        <w:pStyle w:val="ListBullet"/>
      </w:pPr>
      <w:r>
        <w:t>Créer des vidéos pédagogiques originales, crédibles et adaptées aux publics du Burkina Faso et de l’Afrique de l’Ouest.</w:t>
      </w:r>
    </w:p>
    <w:p>
      <w:pPr>
        <w:pStyle w:val="ListBullet"/>
      </w:pPr>
      <w:r>
        <w:t>Mettre en place des modèles visuels réutilisables afin de réduire le coût et le temps de production.</w:t>
      </w:r>
    </w:p>
    <w:p>
      <w:pPr>
        <w:pStyle w:val="ListBullet"/>
      </w:pPr>
      <w:r>
        <w:t>Réserver le GPU uniquement aux calculs lourds et conserver LWS comme centre de contrôle permanent.</w:t>
      </w:r>
    </w:p>
    <w:p>
      <w:pPr>
        <w:pStyle w:val="ListBullet"/>
      </w:pPr>
      <w:r>
        <w:t>Produire des exports adaptés à Academia, Facebook, TikTok, YouTube et LinkedIn.</w:t>
      </w:r>
    </w:p>
    <w:p>
      <w:pPr>
        <w:pStyle w:val="ListBullet"/>
      </w:pPr>
      <w:r>
        <w:t>Conserver une validation humaine obligatoire avant toute mise en ligne.</w:t>
      </w:r>
    </w:p>
    <w:p>
      <w:pPr>
        <w:pStyle w:val="ListBullet"/>
      </w:pPr>
      <w:r>
        <w:t>Mesurer la performance de chaque contenu : démarrage, rétention, complétion, clic vers Academia et action utile.</w:t>
      </w:r>
    </w:p>
    <w:p>
      <w:pPr>
        <w:pStyle w:val="Heading1"/>
      </w:pPr>
      <w:r>
        <w:t>3. Type de vidéo recherché</w:t>
      </w:r>
    </w:p>
    <w:p>
      <w:pPr>
        <w:pStyle w:val="Heading2"/>
      </w:pPr>
      <w:r>
        <w:t>3.1 Positionnement créatif</w:t>
      </w:r>
    </w:p>
    <w:p>
      <w:r>
        <w:t>Le format recherché est une capsule explicative premium, située entre le documentaire pédagogique, le motion design scientifique et l’animation 3D stylisée. L’image ne doit pas chercher le photoréalisme absolu. Elle doit rendre visibles des mécanismes difficiles à filmer : circulation d’une énergie, transformation d’une matière, progression dans un parcours, comparaison de filières, étapes d’un processus ou fonctionnement d’un métier.</w:t>
      </w:r>
    </w:p>
    <w:p>
      <w:pPr>
        <w:pStyle w:val="Heading2"/>
      </w:pPr>
      <w:r>
        <w:t>3.2 Caractéristiques visuelles issues de la vidéo de référence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944"/>
            <w:shd w:fill="1F6E8C"/>
            <w:vAlign w:val="center"/>
          </w:tcPr>
          <w:p>
            <w:r>
              <w:rPr>
                <w:b/>
                <w:color w:val="FFFFFF"/>
                <w:sz w:val="18"/>
              </w:rPr>
              <w:t>Caractéristique</w:t>
            </w:r>
          </w:p>
        </w:tc>
        <w:tc>
          <w:tcPr>
            <w:tcW w:type="dxa" w:w="4608"/>
            <w:shd w:fill="1F6E8C"/>
            <w:vAlign w:val="center"/>
          </w:tcPr>
          <w:p>
            <w:r>
              <w:rPr>
                <w:b/>
                <w:color w:val="FFFFFF"/>
                <w:sz w:val="18"/>
              </w:rPr>
              <w:t>Description attendue</w:t>
            </w:r>
          </w:p>
        </w:tc>
        <w:tc>
          <w:tcPr>
            <w:tcW w:type="dxa" w:w="4320"/>
            <w:shd w:fill="1F6E8C"/>
            <w:vAlign w:val="center"/>
          </w:tcPr>
          <w:p>
            <w:r>
              <w:rPr>
                <w:b/>
                <w:color w:val="FFFFFF"/>
                <w:sz w:val="18"/>
              </w:rPr>
              <w:t>Application à Academia</w:t>
            </w:r>
          </w:p>
        </w:tc>
      </w:tr>
      <w:tr>
        <w:tc>
          <w:tcPr>
            <w:tcW w:type="dxa" w:w="1944"/>
            <w:vAlign w:val="top"/>
          </w:tcPr>
          <w:p>
            <w:pPr>
              <w:spacing w:after="40"/>
            </w:pPr>
            <w:r>
              <w:rPr>
                <w:sz w:val="17"/>
              </w:rPr>
              <w:t>Format</w:t>
            </w:r>
          </w:p>
        </w:tc>
        <w:tc>
          <w:tcPr>
            <w:tcW w:type="dxa" w:w="4608"/>
            <w:vAlign w:val="top"/>
          </w:tcPr>
          <w:p>
            <w:pPr>
              <w:spacing w:after="40"/>
            </w:pPr>
            <w:r>
              <w:rPr>
                <w:sz w:val="17"/>
              </w:rPr>
              <w:t>Vertical 9:16 en priorité; déclinaisons 16:9 et 1:1.</w:t>
            </w:r>
          </w:p>
        </w:tc>
        <w:tc>
          <w:tcPr>
            <w:tcW w:type="dxa" w:w="4320"/>
            <w:vAlign w:val="top"/>
          </w:tcPr>
          <w:p>
            <w:pPr>
              <w:spacing w:after="40"/>
            </w:pPr>
            <w:r>
              <w:rPr>
                <w:sz w:val="17"/>
              </w:rPr>
              <w:t>Capsules mobiles, Reels, TikTok, Shorts et lecteur Academia.</w:t>
            </w:r>
          </w:p>
        </w:tc>
      </w:tr>
      <w:tr>
        <w:tc>
          <w:tcPr>
            <w:tcW w:type="dxa" w:w="1944"/>
            <w:vAlign w:val="top"/>
          </w:tcPr>
          <w:p>
            <w:pPr>
              <w:spacing w:after="40"/>
            </w:pPr>
            <w:r>
              <w:rPr>
                <w:sz w:val="17"/>
              </w:rPr>
              <w:t>Fond</w:t>
            </w:r>
          </w:p>
        </w:tc>
        <w:tc>
          <w:tcPr>
            <w:tcW w:type="dxa" w:w="4608"/>
            <w:vAlign w:val="top"/>
          </w:tcPr>
          <w:p>
            <w:pPr>
              <w:spacing w:after="40"/>
            </w:pPr>
            <w:r>
              <w:rPr>
                <w:sz w:val="17"/>
              </w:rPr>
              <w:t>Fond sombre bleu nuit ou environnement stylisé peu chargé.</w:t>
            </w:r>
          </w:p>
        </w:tc>
        <w:tc>
          <w:tcPr>
            <w:tcW w:type="dxa" w:w="4320"/>
            <w:vAlign w:val="top"/>
          </w:tcPr>
          <w:p>
            <w:pPr>
              <w:spacing w:after="40"/>
            </w:pPr>
            <w:r>
              <w:rPr>
                <w:sz w:val="17"/>
              </w:rPr>
              <w:t>Créer une identité premium et augmenter le contraste.</w:t>
            </w:r>
          </w:p>
        </w:tc>
      </w:tr>
      <w:tr>
        <w:tc>
          <w:tcPr>
            <w:tcW w:type="dxa" w:w="1944"/>
            <w:vAlign w:val="top"/>
          </w:tcPr>
          <w:p>
            <w:pPr>
              <w:spacing w:after="40"/>
            </w:pPr>
            <w:r>
              <w:rPr>
                <w:sz w:val="17"/>
              </w:rPr>
              <w:t>Matière</w:t>
            </w:r>
          </w:p>
        </w:tc>
        <w:tc>
          <w:tcPr>
            <w:tcW w:type="dxa" w:w="4608"/>
            <w:vAlign w:val="top"/>
          </w:tcPr>
          <w:p>
            <w:pPr>
              <w:spacing w:after="40"/>
            </w:pPr>
            <w:r>
              <w:rPr>
                <w:sz w:val="17"/>
              </w:rPr>
              <w:t>Objets filaires, lignes, points, particules, surfaces translucides et volumes lumineux.</w:t>
            </w:r>
          </w:p>
        </w:tc>
        <w:tc>
          <w:tcPr>
            <w:tcW w:type="dxa" w:w="4320"/>
            <w:vAlign w:val="top"/>
          </w:tcPr>
          <w:p>
            <w:pPr>
              <w:spacing w:after="40"/>
            </w:pPr>
            <w:r>
              <w:rPr>
                <w:sz w:val="17"/>
              </w:rPr>
              <w:t>Visualiser filières, compétences, réseaux, étapes et transformations.</w:t>
            </w:r>
          </w:p>
        </w:tc>
      </w:tr>
      <w:tr>
        <w:tc>
          <w:tcPr>
            <w:tcW w:type="dxa" w:w="1944"/>
            <w:vAlign w:val="top"/>
          </w:tcPr>
          <w:p>
            <w:pPr>
              <w:spacing w:after="40"/>
            </w:pPr>
            <w:r>
              <w:rPr>
                <w:sz w:val="17"/>
              </w:rPr>
              <w:t>Code couleur</w:t>
            </w:r>
          </w:p>
        </w:tc>
        <w:tc>
          <w:tcPr>
            <w:tcW w:type="dxa" w:w="4608"/>
            <w:vAlign w:val="top"/>
          </w:tcPr>
          <w:p>
            <w:pPr>
              <w:spacing w:after="40"/>
            </w:pPr>
            <w:r>
              <w:rPr>
                <w:sz w:val="17"/>
              </w:rPr>
              <w:t>Bleu/cyan pour les structures, états neutres ou froids; orange/rouge pour l’action, l’énergie, l’alerte ou la transformation.</w:t>
            </w:r>
          </w:p>
        </w:tc>
        <w:tc>
          <w:tcPr>
            <w:tcW w:type="dxa" w:w="4320"/>
            <w:vAlign w:val="top"/>
          </w:tcPr>
          <w:p>
            <w:pPr>
              <w:spacing w:after="40"/>
            </w:pPr>
            <w:r>
              <w:rPr>
                <w:sz w:val="17"/>
              </w:rPr>
              <w:t>Grammaire visuelle constante d’un épisode à l’autre.</w:t>
            </w:r>
          </w:p>
        </w:tc>
      </w:tr>
      <w:tr>
        <w:tc>
          <w:tcPr>
            <w:tcW w:type="dxa" w:w="1944"/>
            <w:vAlign w:val="top"/>
          </w:tcPr>
          <w:p>
            <w:pPr>
              <w:spacing w:after="40"/>
            </w:pPr>
            <w:r>
              <w:rPr>
                <w:sz w:val="17"/>
              </w:rPr>
              <w:t>Caméra</w:t>
            </w:r>
          </w:p>
        </w:tc>
        <w:tc>
          <w:tcPr>
            <w:tcW w:type="dxa" w:w="4608"/>
            <w:vAlign w:val="top"/>
          </w:tcPr>
          <w:p>
            <w:pPr>
              <w:spacing w:after="40"/>
            </w:pPr>
            <w:r>
              <w:rPr>
                <w:sz w:val="17"/>
              </w:rPr>
              <w:t>Travellings lents, zooms progressifs, rotations limitées et transitions continues.</w:t>
            </w:r>
          </w:p>
        </w:tc>
        <w:tc>
          <w:tcPr>
            <w:tcW w:type="dxa" w:w="4320"/>
            <w:vAlign w:val="top"/>
          </w:tcPr>
          <w:p>
            <w:pPr>
              <w:spacing w:after="40"/>
            </w:pPr>
            <w:r>
              <w:rPr>
                <w:sz w:val="17"/>
              </w:rPr>
              <w:t>Maintenir l’attention sans créer de confusion.</w:t>
            </w:r>
          </w:p>
        </w:tc>
      </w:tr>
      <w:tr>
        <w:tc>
          <w:tcPr>
            <w:tcW w:type="dxa" w:w="1944"/>
            <w:vAlign w:val="top"/>
          </w:tcPr>
          <w:p>
            <w:pPr>
              <w:spacing w:after="40"/>
            </w:pPr>
            <w:r>
              <w:rPr>
                <w:sz w:val="17"/>
              </w:rPr>
              <w:t>Effets</w:t>
            </w:r>
          </w:p>
        </w:tc>
        <w:tc>
          <w:tcPr>
            <w:tcW w:type="dxa" w:w="4608"/>
            <w:vAlign w:val="top"/>
          </w:tcPr>
          <w:p>
            <w:pPr>
              <w:spacing w:after="40"/>
            </w:pPr>
            <w:r>
              <w:rPr>
                <w:sz w:val="17"/>
              </w:rPr>
              <w:t>Particules, halos, traînées, masques animés, morphing, profondeur et fumées légères.</w:t>
            </w:r>
          </w:p>
        </w:tc>
        <w:tc>
          <w:tcPr>
            <w:tcW w:type="dxa" w:w="4320"/>
            <w:vAlign w:val="top"/>
          </w:tcPr>
          <w:p>
            <w:pPr>
              <w:spacing w:after="40"/>
            </w:pPr>
            <w:r>
              <w:rPr>
                <w:sz w:val="17"/>
              </w:rPr>
              <w:t>Réserver les volumes lourds aux épisodes premium.</w:t>
            </w:r>
          </w:p>
        </w:tc>
      </w:tr>
      <w:tr>
        <w:tc>
          <w:tcPr>
            <w:tcW w:type="dxa" w:w="1944"/>
            <w:vAlign w:val="top"/>
          </w:tcPr>
          <w:p>
            <w:pPr>
              <w:spacing w:after="40"/>
            </w:pPr>
            <w:r>
              <w:rPr>
                <w:sz w:val="17"/>
              </w:rPr>
              <w:t>Texte</w:t>
            </w:r>
          </w:p>
        </w:tc>
        <w:tc>
          <w:tcPr>
            <w:tcW w:type="dxa" w:w="4608"/>
            <w:vAlign w:val="top"/>
          </w:tcPr>
          <w:p>
            <w:pPr>
              <w:spacing w:after="40"/>
            </w:pPr>
            <w:r>
              <w:rPr>
                <w:sz w:val="17"/>
              </w:rPr>
              <w:t>Sous-titres blancs lisibles, une ou deux lignes, zone basse protégée.</w:t>
            </w:r>
          </w:p>
        </w:tc>
        <w:tc>
          <w:tcPr>
            <w:tcW w:type="dxa" w:w="4320"/>
            <w:vAlign w:val="top"/>
          </w:tcPr>
          <w:p>
            <w:pPr>
              <w:spacing w:after="40"/>
            </w:pPr>
            <w:r>
              <w:rPr>
                <w:sz w:val="17"/>
              </w:rPr>
              <w:t>Visionnage sans son et accessibilité mobile.</w:t>
            </w:r>
          </w:p>
        </w:tc>
      </w:tr>
      <w:tr>
        <w:tc>
          <w:tcPr>
            <w:tcW w:type="dxa" w:w="1944"/>
            <w:vAlign w:val="top"/>
          </w:tcPr>
          <w:p>
            <w:pPr>
              <w:spacing w:after="40"/>
            </w:pPr>
            <w:r>
              <w:rPr>
                <w:sz w:val="17"/>
              </w:rPr>
              <w:t>Signature</w:t>
            </w:r>
          </w:p>
        </w:tc>
        <w:tc>
          <w:tcPr>
            <w:tcW w:type="dxa" w:w="4608"/>
            <w:vAlign w:val="top"/>
          </w:tcPr>
          <w:p>
            <w:pPr>
              <w:spacing w:after="40"/>
            </w:pPr>
            <w:r>
              <w:rPr>
                <w:sz w:val="17"/>
              </w:rPr>
              <w:t>Logo ou filigrane discret, non invasif.</w:t>
            </w:r>
          </w:p>
        </w:tc>
        <w:tc>
          <w:tcPr>
            <w:tcW w:type="dxa" w:w="4320"/>
            <w:vAlign w:val="top"/>
          </w:tcPr>
          <w:p>
            <w:pPr>
              <w:spacing w:after="40"/>
            </w:pPr>
            <w:r>
              <w:rPr>
                <w:sz w:val="17"/>
              </w:rPr>
              <w:t>Academia ou Nexiom Group selon la nature du contenu.</w:t>
            </w:r>
          </w:p>
        </w:tc>
      </w:tr>
    </w:tbl>
    <w:p/>
    <w:p>
      <w:pPr>
        <w:pStyle w:val="Heading2"/>
      </w:pPr>
      <w:r>
        <w:t>3.3 Structure narrative type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shd w:fill="1F6E8C"/>
            <w:vAlign w:val="center"/>
          </w:tcPr>
          <w:p>
            <w:r>
              <w:rPr>
                <w:b/>
                <w:color w:val="FFFFFF"/>
                <w:sz w:val="18"/>
              </w:rPr>
              <w:t>Étape</w:t>
            </w:r>
          </w:p>
        </w:tc>
        <w:tc>
          <w:tcPr>
            <w:tcW w:type="dxa" w:w="1872"/>
            <w:shd w:fill="1F6E8C"/>
            <w:vAlign w:val="center"/>
          </w:tcPr>
          <w:p>
            <w:r>
              <w:rPr>
                <w:b/>
                <w:color w:val="FFFFFF"/>
                <w:sz w:val="18"/>
              </w:rPr>
              <w:t>Durée indicative</w:t>
            </w:r>
          </w:p>
        </w:tc>
        <w:tc>
          <w:tcPr>
            <w:tcW w:type="dxa" w:w="6912"/>
            <w:shd w:fill="1F6E8C"/>
            <w:vAlign w:val="center"/>
          </w:tcPr>
          <w:p>
            <w:r>
              <w:rPr>
                <w:b/>
                <w:color w:val="FFFFFF"/>
                <w:sz w:val="18"/>
              </w:rPr>
              <w:t>Rôle</w:t>
            </w:r>
          </w:p>
        </w:tc>
      </w:tr>
      <w:tr>
        <w:tc>
          <w:tcPr>
            <w:tcW w:type="dxa" w:w="2160"/>
            <w:vAlign w:val="top"/>
          </w:tcPr>
          <w:p>
            <w:pPr>
              <w:spacing w:after="40"/>
            </w:pPr>
            <w:r>
              <w:rPr>
                <w:sz w:val="17"/>
              </w:rPr>
              <w:t>Accroche</w:t>
            </w:r>
          </w:p>
        </w:tc>
        <w:tc>
          <w:tcPr>
            <w:tcW w:type="dxa" w:w="1872"/>
            <w:vAlign w:val="top"/>
          </w:tcPr>
          <w:p>
            <w:pPr>
              <w:spacing w:after="40"/>
            </w:pPr>
            <w:r>
              <w:rPr>
                <w:sz w:val="17"/>
              </w:rPr>
              <w:t>0-4 s</w:t>
            </w:r>
          </w:p>
        </w:tc>
        <w:tc>
          <w:tcPr>
            <w:tcW w:type="dxa" w:w="6912"/>
            <w:vAlign w:val="top"/>
          </w:tcPr>
          <w:p>
            <w:pPr>
              <w:spacing w:after="40"/>
            </w:pPr>
            <w:r>
              <w:rPr>
                <w:sz w:val="17"/>
              </w:rPr>
              <w:t>Phrase surprenante, question ou fait contre-intuitif.</w:t>
            </w:r>
          </w:p>
        </w:tc>
      </w:tr>
      <w:tr>
        <w:tc>
          <w:tcPr>
            <w:tcW w:type="dxa" w:w="2160"/>
            <w:vAlign w:val="top"/>
          </w:tcPr>
          <w:p>
            <w:pPr>
              <w:spacing w:after="40"/>
            </w:pPr>
            <w:r>
              <w:rPr>
                <w:sz w:val="17"/>
              </w:rPr>
              <w:t>Problème</w:t>
            </w:r>
          </w:p>
        </w:tc>
        <w:tc>
          <w:tcPr>
            <w:tcW w:type="dxa" w:w="1872"/>
            <w:vAlign w:val="top"/>
          </w:tcPr>
          <w:p>
            <w:pPr>
              <w:spacing w:after="40"/>
            </w:pPr>
            <w:r>
              <w:rPr>
                <w:sz w:val="17"/>
              </w:rPr>
              <w:t>4-15 s</w:t>
            </w:r>
          </w:p>
        </w:tc>
        <w:tc>
          <w:tcPr>
            <w:tcW w:type="dxa" w:w="6912"/>
            <w:vAlign w:val="top"/>
          </w:tcPr>
          <w:p>
            <w:pPr>
              <w:spacing w:after="40"/>
            </w:pPr>
            <w:r>
              <w:rPr>
                <w:sz w:val="17"/>
              </w:rPr>
              <w:t>Montrer clairement ce qui doit être compris ou résolu.</w:t>
            </w:r>
          </w:p>
        </w:tc>
      </w:tr>
      <w:tr>
        <w:tc>
          <w:tcPr>
            <w:tcW w:type="dxa" w:w="2160"/>
            <w:vAlign w:val="top"/>
          </w:tcPr>
          <w:p>
            <w:pPr>
              <w:spacing w:after="40"/>
            </w:pPr>
            <w:r>
              <w:rPr>
                <w:sz w:val="17"/>
              </w:rPr>
              <w:t>Mécanisme</w:t>
            </w:r>
          </w:p>
        </w:tc>
        <w:tc>
          <w:tcPr>
            <w:tcW w:type="dxa" w:w="1872"/>
            <w:vAlign w:val="top"/>
          </w:tcPr>
          <w:p>
            <w:pPr>
              <w:spacing w:after="40"/>
            </w:pPr>
            <w:r>
              <w:rPr>
                <w:sz w:val="17"/>
              </w:rPr>
              <w:t>15-45 s</w:t>
            </w:r>
          </w:p>
        </w:tc>
        <w:tc>
          <w:tcPr>
            <w:tcW w:type="dxa" w:w="6912"/>
            <w:vAlign w:val="top"/>
          </w:tcPr>
          <w:p>
            <w:pPr>
              <w:spacing w:after="40"/>
            </w:pPr>
            <w:r>
              <w:rPr>
                <w:sz w:val="17"/>
              </w:rPr>
              <w:t>Décomposer visuellement le fonctionnement, étape par étape.</w:t>
            </w:r>
          </w:p>
        </w:tc>
      </w:tr>
      <w:tr>
        <w:tc>
          <w:tcPr>
            <w:tcW w:type="dxa" w:w="2160"/>
            <w:vAlign w:val="top"/>
          </w:tcPr>
          <w:p>
            <w:pPr>
              <w:spacing w:after="40"/>
            </w:pPr>
            <w:r>
              <w:rPr>
                <w:sz w:val="17"/>
              </w:rPr>
              <w:t>Limite ou erreur fréquente</w:t>
            </w:r>
          </w:p>
        </w:tc>
        <w:tc>
          <w:tcPr>
            <w:tcW w:type="dxa" w:w="1872"/>
            <w:vAlign w:val="top"/>
          </w:tcPr>
          <w:p>
            <w:pPr>
              <w:spacing w:after="40"/>
            </w:pPr>
            <w:r>
              <w:rPr>
                <w:sz w:val="17"/>
              </w:rPr>
              <w:t>45-60 s</w:t>
            </w:r>
          </w:p>
        </w:tc>
        <w:tc>
          <w:tcPr>
            <w:tcW w:type="dxa" w:w="6912"/>
            <w:vAlign w:val="top"/>
          </w:tcPr>
          <w:p>
            <w:pPr>
              <w:spacing w:after="40"/>
            </w:pPr>
            <w:r>
              <w:rPr>
                <w:sz w:val="17"/>
              </w:rPr>
              <w:t>Expliquer pourquoi une solution évidente ne suffit pas.</w:t>
            </w:r>
          </w:p>
        </w:tc>
      </w:tr>
      <w:tr>
        <w:tc>
          <w:tcPr>
            <w:tcW w:type="dxa" w:w="2160"/>
            <w:vAlign w:val="top"/>
          </w:tcPr>
          <w:p>
            <w:pPr>
              <w:spacing w:after="40"/>
            </w:pPr>
            <w:r>
              <w:rPr>
                <w:sz w:val="17"/>
              </w:rPr>
              <w:t>Solution / compréhension</w:t>
            </w:r>
          </w:p>
        </w:tc>
        <w:tc>
          <w:tcPr>
            <w:tcW w:type="dxa" w:w="1872"/>
            <w:vAlign w:val="top"/>
          </w:tcPr>
          <w:p>
            <w:pPr>
              <w:spacing w:after="40"/>
            </w:pPr>
            <w:r>
              <w:rPr>
                <w:sz w:val="17"/>
              </w:rPr>
              <w:t>60-90 s</w:t>
            </w:r>
          </w:p>
        </w:tc>
        <w:tc>
          <w:tcPr>
            <w:tcW w:type="dxa" w:w="6912"/>
            <w:vAlign w:val="top"/>
          </w:tcPr>
          <w:p>
            <w:pPr>
              <w:spacing w:after="40"/>
            </w:pPr>
            <w:r>
              <w:rPr>
                <w:sz w:val="17"/>
              </w:rPr>
              <w:t>Présenter le bon mécanisme ou la démarche utile.</w:t>
            </w:r>
          </w:p>
        </w:tc>
      </w:tr>
      <w:tr>
        <w:tc>
          <w:tcPr>
            <w:tcW w:type="dxa" w:w="2160"/>
            <w:vAlign w:val="top"/>
          </w:tcPr>
          <w:p>
            <w:pPr>
              <w:spacing w:after="40"/>
            </w:pPr>
            <w:r>
              <w:rPr>
                <w:sz w:val="17"/>
              </w:rPr>
              <w:t>Conclusion</w:t>
            </w:r>
          </w:p>
        </w:tc>
        <w:tc>
          <w:tcPr>
            <w:tcW w:type="dxa" w:w="1872"/>
            <w:vAlign w:val="top"/>
          </w:tcPr>
          <w:p>
            <w:pPr>
              <w:spacing w:after="40"/>
            </w:pPr>
            <w:r>
              <w:rPr>
                <w:sz w:val="17"/>
              </w:rPr>
              <w:t>Dernières 5-10 s</w:t>
            </w:r>
          </w:p>
        </w:tc>
        <w:tc>
          <w:tcPr>
            <w:tcW w:type="dxa" w:w="6912"/>
            <w:vAlign w:val="top"/>
          </w:tcPr>
          <w:p>
            <w:pPr>
              <w:spacing w:after="40"/>
            </w:pPr>
            <w:r>
              <w:rPr>
                <w:sz w:val="17"/>
              </w:rPr>
              <w:t>Résumer en une idée mémorable et afficher un seul appel à l’action.</w:t>
            </w:r>
          </w:p>
        </w:tc>
      </w:tr>
    </w:tbl>
    <w:p/>
    <w:p>
      <w:pPr>
        <w:pStyle w:val="Heading2"/>
      </w:pPr>
      <w:r>
        <w:t>3.4 Typologie de contenus Academia</w:t>
      </w:r>
    </w:p>
    <w:p>
      <w:pPr>
        <w:pStyle w:val="ListBullet"/>
      </w:pPr>
      <w:r>
        <w:t>Orientation : comprendre une filière, ses prérequis, ses débouchés et les profils auxquels elle correspond.</w:t>
      </w:r>
    </w:p>
    <w:p>
      <w:pPr>
        <w:pStyle w:val="ListBullet"/>
      </w:pPr>
      <w:r>
        <w:t>Métiers : expliquer les tâches, les compétences, le contexte de travail et les évolutions possibles.</w:t>
      </w:r>
    </w:p>
    <w:p>
      <w:pPr>
        <w:pStyle w:val="ListBullet"/>
      </w:pPr>
      <w:r>
        <w:t>Courtage : présenter le parcours d’accompagnement de Nexiom Group sans garantir admission, réduction ou avantage.</w:t>
      </w:r>
    </w:p>
    <w:p>
      <w:pPr>
        <w:pStyle w:val="ListBullet"/>
      </w:pPr>
      <w:r>
        <w:t>Parents : expliquer de manière rassurante les étapes, coûts à vérifier, documents et décisions à prendre.</w:t>
      </w:r>
    </w:p>
    <w:p>
      <w:pPr>
        <w:pStyle w:val="ListBullet"/>
      </w:pPr>
      <w:r>
        <w:t>Reprise et reconversion : visualiser un parcours progressif vers une nouvelle compétence ou activité.</w:t>
      </w:r>
    </w:p>
    <w:p>
      <w:pPr>
        <w:pStyle w:val="ListBullet"/>
      </w:pPr>
      <w:r>
        <w:t>Conseils pratiques : inscription, préparation de dossier, organisation, choix et erreurs à éviter.</w:t>
      </w:r>
    </w:p>
    <w:p>
      <w:pPr>
        <w:pStyle w:val="Heading1"/>
      </w:pPr>
      <w:r>
        <w:t>4. Chaîne de production fonctionnelle</w:t>
      </w:r>
    </w:p>
    <w:p>
      <w:r>
        <w:drawing>
          <wp:inline xmlns:a="http://schemas.openxmlformats.org/drawingml/2006/main" xmlns:pic="http://schemas.openxmlformats.org/drawingml/2006/picture">
            <wp:extent cx="6492240" cy="3246120"/>
            <wp:docPr id="1" name="Picture 1"/>
            <wp:cNvGraphicFramePr>
              <a:graphicFrameLocks noChangeAspect="1"/>
            </wp:cNvGraphicFramePr>
            <a:graphic>
              <a:graphicData uri="http://schemas.openxmlformats.org/drawingml/2006/picture">
                <pic:pic>
                  <pic:nvPicPr>
                    <pic:cNvPr id="0" name="architecture_lws_runpod.png"/>
                    <pic:cNvPicPr/>
                  </pic:nvPicPr>
                  <pic:blipFill>
                    <a:blip r:embed="rId9"/>
                    <a:stretch>
                      <a:fillRect/>
                    </a:stretch>
                  </pic:blipFill>
                  <pic:spPr>
                    <a:xfrm>
                      <a:off x="0" y="0"/>
                      <a:ext cx="6492240" cy="3246120"/>
                    </a:xfrm>
                    <a:prstGeom prst="rect"/>
                  </pic:spPr>
                </pic:pic>
              </a:graphicData>
            </a:graphic>
          </wp:inline>
        </w:drawing>
      </w:r>
    </w:p>
    <w:p>
      <w:pPr>
        <w:jc w:val="center"/>
      </w:pPr>
      <w:r>
        <w:rPr>
          <w:i/>
        </w:rPr>
        <w:t>Figure 1 - Architecture générale du dispositif</w:t>
      </w:r>
    </w:p>
    <w:p>
      <w:pPr>
        <w:pStyle w:val="Heading2"/>
      </w:pPr>
      <w:r>
        <w:t>4.1 Rôle du serveur LWS</w:t>
      </w:r>
    </w:p>
    <w:p>
      <w:r>
        <w:t>Le serveur LWS reste actif en permanence et joue le rôle de cerveau, de contrôleur et de mémoire du système. Il ne doit pas exécuter les modèles lourds de génération ou les simulations complexes.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6E8C"/>
            <w:vAlign w:val="center"/>
          </w:tcPr>
          <w:p>
            <w:r>
              <w:rPr>
                <w:b/>
                <w:color w:val="FFFFFF"/>
                <w:sz w:val="18"/>
              </w:rPr>
              <w:t>Composant LWS</w:t>
            </w:r>
          </w:p>
        </w:tc>
        <w:tc>
          <w:tcPr>
            <w:tcW w:type="dxa" w:w="7488"/>
            <w:shd w:fill="1F6E8C"/>
            <w:vAlign w:val="center"/>
          </w:tcPr>
          <w:p>
            <w:r>
              <w:rPr>
                <w:b/>
                <w:color w:val="FFFFFF"/>
                <w:sz w:val="18"/>
              </w:rPr>
              <w:t>Fonction</w:t>
            </w:r>
          </w:p>
        </w:tc>
      </w:tr>
      <w:tr>
        <w:tc>
          <w:tcPr>
            <w:tcW w:type="dxa" w:w="2880"/>
            <w:vAlign w:val="top"/>
          </w:tcPr>
          <w:p>
            <w:pPr>
              <w:spacing w:after="40"/>
            </w:pPr>
            <w:r>
              <w:rPr>
                <w:sz w:val="17"/>
              </w:rPr>
              <w:t>API Studio Academia</w:t>
            </w:r>
          </w:p>
        </w:tc>
        <w:tc>
          <w:tcPr>
            <w:tcW w:type="dxa" w:w="7488"/>
            <w:vAlign w:val="top"/>
          </w:tcPr>
          <w:p>
            <w:pPr>
              <w:spacing w:after="40"/>
            </w:pPr>
            <w:r>
              <w:rPr>
                <w:sz w:val="17"/>
              </w:rPr>
              <w:t>Reçoit les demandes de création provenant du back-office.</w:t>
            </w:r>
          </w:p>
        </w:tc>
      </w:tr>
      <w:tr>
        <w:tc>
          <w:tcPr>
            <w:tcW w:type="dxa" w:w="2880"/>
            <w:vAlign w:val="top"/>
          </w:tcPr>
          <w:p>
            <w:pPr>
              <w:spacing w:after="40"/>
            </w:pPr>
            <w:r>
              <w:rPr>
                <w:sz w:val="17"/>
              </w:rPr>
              <w:t>Base de données</w:t>
            </w:r>
          </w:p>
        </w:tc>
        <w:tc>
          <w:tcPr>
            <w:tcW w:type="dxa" w:w="7488"/>
            <w:vAlign w:val="top"/>
          </w:tcPr>
          <w:p>
            <w:pPr>
              <w:spacing w:after="40"/>
            </w:pPr>
            <w:r>
              <w:rPr>
                <w:sz w:val="17"/>
              </w:rPr>
              <w:t>Conserve projets, versions, statuts, coûts, temps de calcul, erreurs et validations.</w:t>
            </w:r>
          </w:p>
        </w:tc>
      </w:tr>
      <w:tr>
        <w:tc>
          <w:tcPr>
            <w:tcW w:type="dxa" w:w="2880"/>
            <w:vAlign w:val="top"/>
          </w:tcPr>
          <w:p>
            <w:pPr>
              <w:spacing w:after="40"/>
            </w:pPr>
            <w:r>
              <w:rPr>
                <w:sz w:val="17"/>
              </w:rPr>
              <w:t>File d’attente</w:t>
            </w:r>
          </w:p>
        </w:tc>
        <w:tc>
          <w:tcPr>
            <w:tcW w:type="dxa" w:w="7488"/>
            <w:vAlign w:val="top"/>
          </w:tcPr>
          <w:p>
            <w:pPr>
              <w:spacing w:after="40"/>
            </w:pPr>
            <w:r>
              <w:rPr>
                <w:sz w:val="17"/>
              </w:rPr>
              <w:t>Ordonne les travaux et empêche plusieurs rendus lourds simultanés au démarrage.</w:t>
            </w:r>
          </w:p>
        </w:tc>
      </w:tr>
      <w:tr>
        <w:tc>
          <w:tcPr>
            <w:tcW w:type="dxa" w:w="2880"/>
            <w:vAlign w:val="top"/>
          </w:tcPr>
          <w:p>
            <w:pPr>
              <w:spacing w:after="40"/>
            </w:pPr>
            <w:r>
              <w:rPr>
                <w:sz w:val="17"/>
              </w:rPr>
              <w:t>LWS Worker</w:t>
            </w:r>
          </w:p>
        </w:tc>
        <w:tc>
          <w:tcPr>
            <w:tcW w:type="dxa" w:w="7488"/>
            <w:vAlign w:val="top"/>
          </w:tcPr>
          <w:p>
            <w:pPr>
              <w:spacing w:after="40"/>
            </w:pPr>
            <w:r>
              <w:rPr>
                <w:sz w:val="17"/>
              </w:rPr>
              <w:t>Prépare les fichiers, déclenche RunPod, surveille l’exécution, récupère le résultat et arrête le GPU.</w:t>
            </w:r>
          </w:p>
        </w:tc>
      </w:tr>
      <w:tr>
        <w:tc>
          <w:tcPr>
            <w:tcW w:type="dxa" w:w="2880"/>
            <w:vAlign w:val="top"/>
          </w:tcPr>
          <w:p>
            <w:pPr>
              <w:spacing w:after="40"/>
            </w:pPr>
            <w:r>
              <w:rPr>
                <w:sz w:val="17"/>
              </w:rPr>
              <w:t>Stockage</w:t>
            </w:r>
          </w:p>
        </w:tc>
        <w:tc>
          <w:tcPr>
            <w:tcW w:type="dxa" w:w="7488"/>
            <w:vAlign w:val="top"/>
          </w:tcPr>
          <w:p>
            <w:pPr>
              <w:spacing w:after="40"/>
            </w:pPr>
            <w:r>
              <w:rPr>
                <w:sz w:val="17"/>
              </w:rPr>
              <w:t>Conserve scripts, storyboards, images sources, voix, sous-titres et exports finaux.</w:t>
            </w:r>
          </w:p>
        </w:tc>
      </w:tr>
      <w:tr>
        <w:tc>
          <w:tcPr>
            <w:tcW w:type="dxa" w:w="2880"/>
            <w:vAlign w:val="top"/>
          </w:tcPr>
          <w:p>
            <w:pPr>
              <w:spacing w:after="40"/>
            </w:pPr>
            <w:r>
              <w:rPr>
                <w:sz w:val="17"/>
              </w:rPr>
              <w:t>FFmpeg</w:t>
            </w:r>
          </w:p>
        </w:tc>
        <w:tc>
          <w:tcPr>
            <w:tcW w:type="dxa" w:w="7488"/>
            <w:vAlign w:val="top"/>
          </w:tcPr>
          <w:p>
            <w:pPr>
              <w:spacing w:after="40"/>
            </w:pPr>
            <w:r>
              <w:rPr>
                <w:sz w:val="17"/>
              </w:rPr>
              <w:t>Assemble les scènes, la voix, la musique, les sous-titres, le logo et les formats finaux.</w:t>
            </w:r>
          </w:p>
        </w:tc>
      </w:tr>
      <w:tr>
        <w:tc>
          <w:tcPr>
            <w:tcW w:type="dxa" w:w="2880"/>
            <w:vAlign w:val="top"/>
          </w:tcPr>
          <w:p>
            <w:pPr>
              <w:spacing w:after="40"/>
            </w:pPr>
            <w:r>
              <w:rPr>
                <w:sz w:val="17"/>
              </w:rPr>
              <w:t>Interface de validation</w:t>
            </w:r>
          </w:p>
        </w:tc>
        <w:tc>
          <w:tcPr>
            <w:tcW w:type="dxa" w:w="7488"/>
            <w:vAlign w:val="top"/>
          </w:tcPr>
          <w:p>
            <w:pPr>
              <w:spacing w:after="40"/>
            </w:pPr>
            <w:r>
              <w:rPr>
                <w:sz w:val="17"/>
              </w:rPr>
              <w:t>Affiche la prévisualisation et recueille validation, rejet ou correction.</w:t>
            </w:r>
          </w:p>
        </w:tc>
      </w:tr>
      <w:tr>
        <w:tc>
          <w:tcPr>
            <w:tcW w:type="dxa" w:w="2880"/>
            <w:vAlign w:val="top"/>
          </w:tcPr>
          <w:p>
            <w:pPr>
              <w:spacing w:after="40"/>
            </w:pPr>
            <w:r>
              <w:rPr>
                <w:sz w:val="17"/>
              </w:rPr>
              <w:t>Journalisation</w:t>
            </w:r>
          </w:p>
        </w:tc>
        <w:tc>
          <w:tcPr>
            <w:tcW w:type="dxa" w:w="7488"/>
            <w:vAlign w:val="top"/>
          </w:tcPr>
          <w:p>
            <w:pPr>
              <w:spacing w:after="40"/>
            </w:pPr>
            <w:r>
              <w:rPr>
                <w:sz w:val="17"/>
              </w:rPr>
              <w:t>Enregistre les opérations sans exposer les secrets ni les clés API.</w:t>
            </w:r>
          </w:p>
        </w:tc>
      </w:tr>
    </w:tbl>
    <w:p/>
    <w:p>
      <w:pPr>
        <w:pStyle w:val="Heading2"/>
      </w:pPr>
      <w:r>
        <w:t>4.2 Rôle de RunPod</w:t>
      </w:r>
    </w:p>
    <w:p>
      <w:r>
        <w:t>RunPod fournit temporairement la puissance GPU. Il reçoit un travail préparé par LWS, charge le workflow nécessaire, exécute la génération ou le rendu, dépose les résultats dans un emplacement sécurisé, puis peut être arrêté ou supprimé.</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6E8C"/>
            <w:vAlign w:val="center"/>
          </w:tcPr>
          <w:p>
            <w:r>
              <w:rPr>
                <w:b/>
                <w:color w:val="FFFFFF"/>
                <w:sz w:val="18"/>
              </w:rPr>
              <w:t>Service GPU</w:t>
            </w:r>
          </w:p>
        </w:tc>
        <w:tc>
          <w:tcPr>
            <w:tcW w:type="dxa" w:w="7488"/>
            <w:shd w:fill="1F6E8C"/>
            <w:vAlign w:val="center"/>
          </w:tcPr>
          <w:p>
            <w:r>
              <w:rPr>
                <w:b/>
                <w:color w:val="FFFFFF"/>
                <w:sz w:val="18"/>
              </w:rPr>
              <w:t>Usage</w:t>
            </w:r>
          </w:p>
        </w:tc>
      </w:tr>
      <w:tr>
        <w:tc>
          <w:tcPr>
            <w:tcW w:type="dxa" w:w="2880"/>
            <w:vAlign w:val="top"/>
          </w:tcPr>
          <w:p>
            <w:pPr>
              <w:spacing w:after="40"/>
            </w:pPr>
            <w:r>
              <w:rPr>
                <w:sz w:val="17"/>
              </w:rPr>
              <w:t>ComfyUI</w:t>
            </w:r>
          </w:p>
        </w:tc>
        <w:tc>
          <w:tcPr>
            <w:tcW w:type="dxa" w:w="7488"/>
            <w:vAlign w:val="top"/>
          </w:tcPr>
          <w:p>
            <w:pPr>
              <w:spacing w:after="40"/>
            </w:pPr>
            <w:r>
              <w:rPr>
                <w:sz w:val="17"/>
              </w:rPr>
              <w:t>Génération d’images, variantes, contrôle de composition, profondeur, pose, retouche et cohérence visuelle.</w:t>
            </w:r>
          </w:p>
        </w:tc>
      </w:tr>
      <w:tr>
        <w:tc>
          <w:tcPr>
            <w:tcW w:type="dxa" w:w="2880"/>
            <w:vAlign w:val="top"/>
          </w:tcPr>
          <w:p>
            <w:pPr>
              <w:spacing w:after="40"/>
            </w:pPr>
            <w:r>
              <w:rPr>
                <w:sz w:val="17"/>
              </w:rPr>
              <w:t>Blender en mode headless</w:t>
            </w:r>
          </w:p>
        </w:tc>
        <w:tc>
          <w:tcPr>
            <w:tcW w:type="dxa" w:w="7488"/>
            <w:vAlign w:val="top"/>
          </w:tcPr>
          <w:p>
            <w:pPr>
              <w:spacing w:after="40"/>
            </w:pPr>
            <w:r>
              <w:rPr>
                <w:sz w:val="17"/>
              </w:rPr>
              <w:t>Rendu 3D, animation procédurale, caméra, particules, matériaux et scènes filaires.</w:t>
            </w:r>
          </w:p>
        </w:tc>
      </w:tr>
      <w:tr>
        <w:tc>
          <w:tcPr>
            <w:tcW w:type="dxa" w:w="2880"/>
            <w:vAlign w:val="top"/>
          </w:tcPr>
          <w:p>
            <w:pPr>
              <w:spacing w:after="40"/>
            </w:pPr>
            <w:r>
              <w:rPr>
                <w:sz w:val="17"/>
              </w:rPr>
              <w:t>Encodage GPU facultatif</w:t>
            </w:r>
          </w:p>
        </w:tc>
        <w:tc>
          <w:tcPr>
            <w:tcW w:type="dxa" w:w="7488"/>
            <w:vAlign w:val="top"/>
          </w:tcPr>
          <w:p>
            <w:pPr>
              <w:spacing w:after="40"/>
            </w:pPr>
            <w:r>
              <w:rPr>
                <w:sz w:val="17"/>
              </w:rPr>
              <w:t>Accélération de certains exports si cela présente un avantage réel.</w:t>
            </w:r>
          </w:p>
        </w:tc>
      </w:tr>
      <w:tr>
        <w:tc>
          <w:tcPr>
            <w:tcW w:type="dxa" w:w="2880"/>
            <w:vAlign w:val="top"/>
          </w:tcPr>
          <w:p>
            <w:pPr>
              <w:spacing w:after="40"/>
            </w:pPr>
            <w:r>
              <w:rPr>
                <w:sz w:val="17"/>
              </w:rPr>
              <w:t>Scripts Python</w:t>
            </w:r>
          </w:p>
        </w:tc>
        <w:tc>
          <w:tcPr>
            <w:tcW w:type="dxa" w:w="7488"/>
            <w:vAlign w:val="top"/>
          </w:tcPr>
          <w:p>
            <w:pPr>
              <w:spacing w:after="40"/>
            </w:pPr>
            <w:r>
              <w:rPr>
                <w:sz w:val="17"/>
              </w:rPr>
              <w:t>Injection des paramètres du projet dans les workflows et modèles 3D.</w:t>
            </w:r>
          </w:p>
        </w:tc>
      </w:tr>
    </w:tbl>
    <w:p/>
    <w:p>
      <w:pPr>
        <w:pStyle w:val="Heading2"/>
      </w:pPr>
      <w:r>
        <w:t>4.3 Choix du mode RunPod</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shd w:fill="1F6E8C"/>
            <w:vAlign w:val="center"/>
          </w:tcPr>
          <w:p>
            <w:r>
              <w:rPr>
                <w:b/>
                <w:color w:val="FFFFFF"/>
                <w:sz w:val="18"/>
              </w:rPr>
              <w:t>Mode</w:t>
            </w:r>
          </w:p>
        </w:tc>
        <w:tc>
          <w:tcPr>
            <w:tcW w:type="dxa" w:w="3168"/>
            <w:shd w:fill="1F6E8C"/>
            <w:vAlign w:val="center"/>
          </w:tcPr>
          <w:p>
            <w:r>
              <w:rPr>
                <w:b/>
                <w:color w:val="FFFFFF"/>
                <w:sz w:val="18"/>
              </w:rPr>
              <w:t>Usage conseillé</w:t>
            </w:r>
          </w:p>
        </w:tc>
        <w:tc>
          <w:tcPr>
            <w:tcW w:type="dxa" w:w="3024"/>
            <w:shd w:fill="1F6E8C"/>
            <w:vAlign w:val="center"/>
          </w:tcPr>
          <w:p>
            <w:r>
              <w:rPr>
                <w:b/>
                <w:color w:val="FFFFFF"/>
                <w:sz w:val="18"/>
              </w:rPr>
              <w:t>Avantage</w:t>
            </w:r>
          </w:p>
        </w:tc>
        <w:tc>
          <w:tcPr>
            <w:tcW w:type="dxa" w:w="3024"/>
            <w:shd w:fill="1F6E8C"/>
            <w:vAlign w:val="center"/>
          </w:tcPr>
          <w:p>
            <w:r>
              <w:rPr>
                <w:b/>
                <w:color w:val="FFFFFF"/>
                <w:sz w:val="18"/>
              </w:rPr>
              <w:t>Limite</w:t>
            </w:r>
          </w:p>
        </w:tc>
      </w:tr>
      <w:tr>
        <w:tc>
          <w:tcPr>
            <w:tcW w:type="dxa" w:w="2160"/>
            <w:vAlign w:val="top"/>
          </w:tcPr>
          <w:p>
            <w:pPr>
              <w:spacing w:after="40"/>
            </w:pPr>
            <w:r>
              <w:rPr>
                <w:sz w:val="17"/>
              </w:rPr>
              <w:t>Pod classique</w:t>
            </w:r>
          </w:p>
        </w:tc>
        <w:tc>
          <w:tcPr>
            <w:tcW w:type="dxa" w:w="3168"/>
            <w:vAlign w:val="top"/>
          </w:tcPr>
          <w:p>
            <w:pPr>
              <w:spacing w:after="40"/>
            </w:pPr>
            <w:r>
              <w:rPr>
                <w:sz w:val="17"/>
              </w:rPr>
              <w:t>Prototype, réglage manuel, installation de ComfyUI et Blender.</w:t>
            </w:r>
          </w:p>
        </w:tc>
        <w:tc>
          <w:tcPr>
            <w:tcW w:type="dxa" w:w="3024"/>
            <w:vAlign w:val="top"/>
          </w:tcPr>
          <w:p>
            <w:pPr>
              <w:spacing w:after="40"/>
            </w:pPr>
            <w:r>
              <w:rPr>
                <w:sz w:val="17"/>
              </w:rPr>
              <w:t>Accès Jupyter/SSH et contrôle complet.</w:t>
            </w:r>
          </w:p>
        </w:tc>
        <w:tc>
          <w:tcPr>
            <w:tcW w:type="dxa" w:w="3024"/>
            <w:vAlign w:val="top"/>
          </w:tcPr>
          <w:p>
            <w:pPr>
              <w:spacing w:after="40"/>
            </w:pPr>
            <w:r>
              <w:rPr>
                <w:sz w:val="17"/>
              </w:rPr>
              <w:t>Facturation tant que le Pod est actif; stockage persistant facturé.</w:t>
            </w:r>
          </w:p>
        </w:tc>
      </w:tr>
      <w:tr>
        <w:tc>
          <w:tcPr>
            <w:tcW w:type="dxa" w:w="2160"/>
            <w:vAlign w:val="top"/>
          </w:tcPr>
          <w:p>
            <w:pPr>
              <w:spacing w:after="40"/>
            </w:pPr>
            <w:r>
              <w:rPr>
                <w:sz w:val="17"/>
              </w:rPr>
              <w:t>Serverless à file d’attente</w:t>
            </w:r>
          </w:p>
        </w:tc>
        <w:tc>
          <w:tcPr>
            <w:tcW w:type="dxa" w:w="3168"/>
            <w:vAlign w:val="top"/>
          </w:tcPr>
          <w:p>
            <w:pPr>
              <w:spacing w:after="40"/>
            </w:pPr>
            <w:r>
              <w:rPr>
                <w:sz w:val="17"/>
              </w:rPr>
              <w:t>Production automatisée et répétitive une fois les workflows stabilisés.</w:t>
            </w:r>
          </w:p>
        </w:tc>
        <w:tc>
          <w:tcPr>
            <w:tcW w:type="dxa" w:w="3024"/>
            <w:vAlign w:val="top"/>
          </w:tcPr>
          <w:p>
            <w:pPr>
              <w:spacing w:after="40"/>
            </w:pPr>
            <w:r>
              <w:rPr>
                <w:sz w:val="17"/>
              </w:rPr>
              <w:t>Workers de 0 à N; paiement du temps de calcul réel; API asynchrone.</w:t>
            </w:r>
          </w:p>
        </w:tc>
        <w:tc>
          <w:tcPr>
            <w:tcW w:type="dxa" w:w="3024"/>
            <w:vAlign w:val="top"/>
          </w:tcPr>
          <w:p>
            <w:pPr>
              <w:spacing w:after="40"/>
            </w:pPr>
            <w:r>
              <w:rPr>
                <w:sz w:val="17"/>
              </w:rPr>
              <w:t>Nécessite une image Docker et un handler fiables; temps de démarrage à maîtriser.</w:t>
            </w:r>
          </w:p>
        </w:tc>
      </w:tr>
      <w:tr>
        <w:tc>
          <w:tcPr>
            <w:tcW w:type="dxa" w:w="2160"/>
            <w:vAlign w:val="top"/>
          </w:tcPr>
          <w:p>
            <w:pPr>
              <w:spacing w:after="40"/>
            </w:pPr>
            <w:r>
              <w:rPr>
                <w:sz w:val="17"/>
              </w:rPr>
              <w:t>Architecture hybride</w:t>
            </w:r>
          </w:p>
        </w:tc>
        <w:tc>
          <w:tcPr>
            <w:tcW w:type="dxa" w:w="3168"/>
            <w:vAlign w:val="top"/>
          </w:tcPr>
          <w:p>
            <w:pPr>
              <w:spacing w:after="40"/>
            </w:pPr>
            <w:r>
              <w:rPr>
                <w:sz w:val="17"/>
              </w:rPr>
              <w:t>Pod pour créer/tester les modèles, Serverless pour la production courante.</w:t>
            </w:r>
          </w:p>
        </w:tc>
        <w:tc>
          <w:tcPr>
            <w:tcW w:type="dxa" w:w="3024"/>
            <w:vAlign w:val="top"/>
          </w:tcPr>
          <w:p>
            <w:pPr>
              <w:spacing w:after="40"/>
            </w:pPr>
            <w:r>
              <w:rPr>
                <w:sz w:val="17"/>
              </w:rPr>
              <w:t>Meilleur compromis entre contrôle et coûts.</w:t>
            </w:r>
          </w:p>
        </w:tc>
        <w:tc>
          <w:tcPr>
            <w:tcW w:type="dxa" w:w="3024"/>
            <w:vAlign w:val="top"/>
          </w:tcPr>
          <w:p>
            <w:pPr>
              <w:spacing w:after="40"/>
            </w:pPr>
            <w:r>
              <w:rPr>
                <w:sz w:val="17"/>
              </w:rPr>
              <w:t>Deux environnements à maintenir.</w:t>
            </w:r>
          </w:p>
        </w:tc>
      </w:tr>
    </w:tbl>
    <w:p/>
    <w:p>
      <w:r>
        <w:t>Décision recommandée : commencer avec un Pod RTX 3090 ou RTX 4090 pour construire le prototype, puis migrer les workflows validés vers un endpoint Serverless à file d’attente.</w:t>
      </w:r>
    </w:p>
    <w:p>
      <w:pPr>
        <w:pStyle w:val="Heading1"/>
      </w:pPr>
      <w:r>
        <w:t>5. Déroulement détaillé d’un travail</w:t>
      </w:r>
    </w:p>
    <w:p>
      <w:r>
        <w:rPr>
          <w:b/>
        </w:rPr>
        <w:t xml:space="preserve">1. Création du projet : </w:t>
      </w:r>
      <w:r>
        <w:t>Un administrateur choisit la cible, l’objectif, le format, le modèle visuel, la narration et le CTA.</w:t>
      </w:r>
    </w:p>
    <w:p>
      <w:r>
        <w:rPr>
          <w:b/>
        </w:rPr>
        <w:t xml:space="preserve">2. Validation éditoriale : </w:t>
      </w:r>
      <w:r>
        <w:t>Le texte, les faits, les noms et le lien officiel sont vérifiés avant tout calcul GPU.</w:t>
      </w:r>
    </w:p>
    <w:p>
      <w:r>
        <w:rPr>
          <w:b/>
        </w:rPr>
        <w:t xml:space="preserve">3. Préparation LWS : </w:t>
      </w:r>
      <w:r>
        <w:t>Le Worker crée un dossier de travail, copie les assets et génère un fichier job.json.</w:t>
      </w:r>
    </w:p>
    <w:p>
      <w:r>
        <w:rPr>
          <w:b/>
        </w:rPr>
        <w:t xml:space="preserve">4. Mise en file : </w:t>
      </w:r>
      <w:r>
        <w:t>Le projet reçoit le statut QUEUED. Les tâches sont traitées une par une au démarrage.</w:t>
      </w:r>
    </w:p>
    <w:p>
      <w:r>
        <w:rPr>
          <w:b/>
        </w:rPr>
        <w:t xml:space="preserve">5. Démarrage GPU : </w:t>
      </w:r>
      <w:r>
        <w:t>LWS appelle l’API RunPod ou soumet une demande Serverless.</w:t>
      </w:r>
    </w:p>
    <w:p>
      <w:r>
        <w:rPr>
          <w:b/>
        </w:rPr>
        <w:t xml:space="preserve">6. Chargement du workflow : </w:t>
      </w:r>
      <w:r>
        <w:t>RunPod charge le workflow ComfyUI ou le fichier Blender avec les modèles nécessaires.</w:t>
      </w:r>
    </w:p>
    <w:p>
      <w:r>
        <w:rPr>
          <w:b/>
        </w:rPr>
        <w:t xml:space="preserve">7. Rendu : </w:t>
      </w:r>
      <w:r>
        <w:t>Les images, séquences ou passes sont générées avec journaux de progression.</w:t>
      </w:r>
    </w:p>
    <w:p>
      <w:r>
        <w:rPr>
          <w:b/>
        </w:rPr>
        <w:t xml:space="preserve">8. Retour vers LWS : </w:t>
      </w:r>
      <w:r>
        <w:t>RunPod envoie les fichiers et un manifeste de résultats contenant noms, tailles, durées et empreintes.</w:t>
      </w:r>
    </w:p>
    <w:p>
      <w:r>
        <w:rPr>
          <w:b/>
        </w:rPr>
        <w:t xml:space="preserve">9. Assemblage : </w:t>
      </w:r>
      <w:r>
        <w:t>FFmpeg sur LWS synchronise voix, scènes, sous-titres, musique et signature.</w:t>
      </w:r>
    </w:p>
    <w:p>
      <w:r>
        <w:rPr>
          <w:b/>
        </w:rPr>
        <w:t xml:space="preserve">10. Contrôle automatique : </w:t>
      </w:r>
      <w:r>
        <w:t>Vérification de durée, résolution, codec, poids, présence de l’audio et absence de fichier corrompu.</w:t>
      </w:r>
    </w:p>
    <w:p>
      <w:r>
        <w:rPr>
          <w:b/>
        </w:rPr>
        <w:t xml:space="preserve">11. Prévisualisation : </w:t>
      </w:r>
      <w:r>
        <w:t>Le responsable consulte le brouillon dans Academia.</w:t>
      </w:r>
    </w:p>
    <w:p>
      <w:r>
        <w:rPr>
          <w:b/>
        </w:rPr>
        <w:t xml:space="preserve">12. Validation humaine : </w:t>
      </w:r>
      <w:r>
        <w:t>Le contenu est validé, refusé ou renvoyé en correction.</w:t>
      </w:r>
    </w:p>
    <w:p>
      <w:r>
        <w:rPr>
          <w:b/>
        </w:rPr>
        <w:t xml:space="preserve">13. Arrêt GPU : </w:t>
      </w:r>
      <w:r>
        <w:t>Le Worker vérifie qu’aucune tâche n’attend, puis arrête le Pod ou laisse le worker Serverless revenir à zéro.</w:t>
      </w:r>
    </w:p>
    <w:p>
      <w:pPr>
        <w:pStyle w:val="Heading1"/>
      </w:pPr>
      <w:r>
        <w:t>6. Format du fichier de travail</w:t>
      </w:r>
    </w:p>
    <w:p>
      <w:r>
        <w:t>Chaque production doit être décrite par un manifeste JSON. Exemple de structure logique :</w:t>
      </w:r>
    </w:p>
    <w:p>
      <w:pPr>
        <w:pStyle w:val="NoSpacing"/>
      </w:pPr>
      <w:r>
        <w:rPr>
          <w:rFonts w:ascii="Consolas" w:hAnsi="Consolas"/>
          <w:sz w:val="17"/>
        </w:rPr>
        <w:t>{</w:t>
        <w:br/>
        <w:t xml:space="preserve">  "project_id": "academia-video-0001",</w:t>
        <w:br/>
        <w:t xml:space="preserve">  "type": "capsule_orientation",</w:t>
        <w:br/>
        <w:t xml:space="preserve">  "format": "9:16",</w:t>
        <w:br/>
        <w:t xml:space="preserve">  "resolution": "1080x1920",</w:t>
        <w:br/>
        <w:t xml:space="preserve">  "duration_target": 75,</w:t>
        <w:br/>
        <w:t xml:space="preserve">  "visual_template": "wireframe_blue_orange_v1",</w:t>
        <w:br/>
        <w:t xml:space="preserve">  "script_version": "validated_v3",</w:t>
        <w:br/>
        <w:t xml:space="preserve">  "scenes": [</w:t>
        <w:br/>
        <w:t xml:space="preserve">    {"id": 1, "engine": "blender", "duration": 6},</w:t>
        <w:br/>
        <w:t xml:space="preserve">    {"id": 2, "engine": "comfyui", "duration": 8}</w:t>
        <w:br/>
        <w:t xml:space="preserve">  ],</w:t>
        <w:br/>
        <w:t xml:space="preserve">  "voice_file": "voice_master.wav",</w:t>
        <w:br/>
        <w:t xml:space="preserve">  "subtitle_file": "captions.srt",</w:t>
        <w:br/>
        <w:t xml:space="preserve">  "cta": "Découvrir les formations sur Academia",</w:t>
        <w:br/>
        <w:t xml:space="preserve">  "output": ["vertical_mp4", "thumbnail_webp"],</w:t>
        <w:br/>
        <w:t xml:space="preserve">  "publish": false</w:t>
        <w:br/>
        <w:t>}</w:t>
      </w:r>
    </w:p>
    <w:p>
      <w:pPr>
        <w:pStyle w:val="Heading1"/>
      </w:pPr>
      <w:r>
        <w:t>7. Moteurs de production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944"/>
            <w:shd w:fill="1F6E8C"/>
            <w:vAlign w:val="center"/>
          </w:tcPr>
          <w:p>
            <w:r>
              <w:rPr>
                <w:b/>
                <w:color w:val="FFFFFF"/>
                <w:sz w:val="18"/>
              </w:rPr>
              <w:t>Moteur</w:t>
            </w:r>
          </w:p>
        </w:tc>
        <w:tc>
          <w:tcPr>
            <w:tcW w:type="dxa" w:w="4032"/>
            <w:shd w:fill="1F6E8C"/>
            <w:vAlign w:val="center"/>
          </w:tcPr>
          <w:p>
            <w:r>
              <w:rPr>
                <w:b/>
                <w:color w:val="FFFFFF"/>
                <w:sz w:val="18"/>
              </w:rPr>
              <w:t>Usage principal</w:t>
            </w:r>
          </w:p>
        </w:tc>
        <w:tc>
          <w:tcPr>
            <w:tcW w:type="dxa" w:w="2592"/>
            <w:shd w:fill="1F6E8C"/>
            <w:vAlign w:val="center"/>
          </w:tcPr>
          <w:p>
            <w:r>
              <w:rPr>
                <w:b/>
                <w:color w:val="FFFFFF"/>
                <w:sz w:val="18"/>
              </w:rPr>
              <w:t>Lieu d’exécution</w:t>
            </w:r>
          </w:p>
        </w:tc>
        <w:tc>
          <w:tcPr>
            <w:tcW w:type="dxa" w:w="1728"/>
            <w:shd w:fill="1F6E8C"/>
            <w:vAlign w:val="center"/>
          </w:tcPr>
          <w:p>
            <w:r>
              <w:rPr>
                <w:b/>
                <w:color w:val="FFFFFF"/>
                <w:sz w:val="18"/>
              </w:rPr>
              <w:t>Niveau de priorité</w:t>
            </w:r>
          </w:p>
        </w:tc>
      </w:tr>
      <w:tr>
        <w:tc>
          <w:tcPr>
            <w:tcW w:type="dxa" w:w="1944"/>
            <w:vAlign w:val="top"/>
          </w:tcPr>
          <w:p>
            <w:pPr>
              <w:spacing w:after="40"/>
            </w:pPr>
            <w:r>
              <w:rPr>
                <w:sz w:val="17"/>
              </w:rPr>
              <w:t>ComfyUI</w:t>
            </w:r>
          </w:p>
        </w:tc>
        <w:tc>
          <w:tcPr>
            <w:tcW w:type="dxa" w:w="4032"/>
            <w:vAlign w:val="top"/>
          </w:tcPr>
          <w:p>
            <w:pPr>
              <w:spacing w:after="40"/>
            </w:pPr>
            <w:r>
              <w:rPr>
                <w:sz w:val="17"/>
              </w:rPr>
              <w:t>Images, textures, arrière-plans, cohérence de personnages et plans génératifs.</w:t>
            </w:r>
          </w:p>
        </w:tc>
        <w:tc>
          <w:tcPr>
            <w:tcW w:type="dxa" w:w="2592"/>
            <w:vAlign w:val="top"/>
          </w:tcPr>
          <w:p>
            <w:pPr>
              <w:spacing w:after="40"/>
            </w:pPr>
            <w:r>
              <w:rPr>
                <w:sz w:val="17"/>
              </w:rPr>
              <w:t>RunPod GPU</w:t>
            </w:r>
          </w:p>
        </w:tc>
        <w:tc>
          <w:tcPr>
            <w:tcW w:type="dxa" w:w="1728"/>
            <w:vAlign w:val="top"/>
          </w:tcPr>
          <w:p>
            <w:pPr>
              <w:spacing w:after="40"/>
            </w:pPr>
            <w:r>
              <w:rPr>
                <w:sz w:val="17"/>
              </w:rPr>
              <w:t>Haute</w:t>
            </w:r>
          </w:p>
        </w:tc>
      </w:tr>
      <w:tr>
        <w:tc>
          <w:tcPr>
            <w:tcW w:type="dxa" w:w="1944"/>
            <w:vAlign w:val="top"/>
          </w:tcPr>
          <w:p>
            <w:pPr>
              <w:spacing w:after="40"/>
            </w:pPr>
            <w:r>
              <w:rPr>
                <w:sz w:val="17"/>
              </w:rPr>
              <w:t>Blender</w:t>
            </w:r>
          </w:p>
        </w:tc>
        <w:tc>
          <w:tcPr>
            <w:tcW w:type="dxa" w:w="4032"/>
            <w:vAlign w:val="top"/>
          </w:tcPr>
          <w:p>
            <w:pPr>
              <w:spacing w:after="40"/>
            </w:pPr>
            <w:r>
              <w:rPr>
                <w:sz w:val="17"/>
              </w:rPr>
              <w:t>Scènes filaires, objets 3D, particules, caméra et animation procédurale.</w:t>
            </w:r>
          </w:p>
        </w:tc>
        <w:tc>
          <w:tcPr>
            <w:tcW w:type="dxa" w:w="2592"/>
            <w:vAlign w:val="top"/>
          </w:tcPr>
          <w:p>
            <w:pPr>
              <w:spacing w:after="40"/>
            </w:pPr>
            <w:r>
              <w:rPr>
                <w:sz w:val="17"/>
              </w:rPr>
              <w:t>RunPod GPU</w:t>
            </w:r>
          </w:p>
        </w:tc>
        <w:tc>
          <w:tcPr>
            <w:tcW w:type="dxa" w:w="1728"/>
            <w:vAlign w:val="top"/>
          </w:tcPr>
          <w:p>
            <w:pPr>
              <w:spacing w:after="40"/>
            </w:pPr>
            <w:r>
              <w:rPr>
                <w:sz w:val="17"/>
              </w:rPr>
              <w:t>Haute</w:t>
            </w:r>
          </w:p>
        </w:tc>
      </w:tr>
      <w:tr>
        <w:tc>
          <w:tcPr>
            <w:tcW w:type="dxa" w:w="1944"/>
            <w:vAlign w:val="top"/>
          </w:tcPr>
          <w:p>
            <w:pPr>
              <w:spacing w:after="40"/>
            </w:pPr>
            <w:r>
              <w:rPr>
                <w:sz w:val="17"/>
              </w:rPr>
              <w:t>FFmpeg</w:t>
            </w:r>
          </w:p>
        </w:tc>
        <w:tc>
          <w:tcPr>
            <w:tcW w:type="dxa" w:w="4032"/>
            <w:vAlign w:val="top"/>
          </w:tcPr>
          <w:p>
            <w:pPr>
              <w:spacing w:after="40"/>
            </w:pPr>
            <w:r>
              <w:rPr>
                <w:sz w:val="17"/>
              </w:rPr>
              <w:t>Montage, sous-titres, audio, logos, conversions et compression.</w:t>
            </w:r>
          </w:p>
        </w:tc>
        <w:tc>
          <w:tcPr>
            <w:tcW w:type="dxa" w:w="2592"/>
            <w:vAlign w:val="top"/>
          </w:tcPr>
          <w:p>
            <w:pPr>
              <w:spacing w:after="40"/>
            </w:pPr>
            <w:r>
              <w:rPr>
                <w:sz w:val="17"/>
              </w:rPr>
              <w:t>LWS</w:t>
            </w:r>
          </w:p>
        </w:tc>
        <w:tc>
          <w:tcPr>
            <w:tcW w:type="dxa" w:w="1728"/>
            <w:vAlign w:val="top"/>
          </w:tcPr>
          <w:p>
            <w:pPr>
              <w:spacing w:after="40"/>
            </w:pPr>
            <w:r>
              <w:rPr>
                <w:sz w:val="17"/>
              </w:rPr>
              <w:t>Critique</w:t>
            </w:r>
          </w:p>
        </w:tc>
      </w:tr>
      <w:tr>
        <w:tc>
          <w:tcPr>
            <w:tcW w:type="dxa" w:w="1944"/>
            <w:vAlign w:val="top"/>
          </w:tcPr>
          <w:p>
            <w:pPr>
              <w:spacing w:after="40"/>
            </w:pPr>
            <w:r>
              <w:rPr>
                <w:sz w:val="17"/>
              </w:rPr>
              <w:t>Python</w:t>
            </w:r>
          </w:p>
        </w:tc>
        <w:tc>
          <w:tcPr>
            <w:tcW w:type="dxa" w:w="4032"/>
            <w:vAlign w:val="top"/>
          </w:tcPr>
          <w:p>
            <w:pPr>
              <w:spacing w:after="40"/>
            </w:pPr>
            <w:r>
              <w:rPr>
                <w:sz w:val="17"/>
              </w:rPr>
              <w:t>Orchestration, validation, remplacement de paramètres et contrôle des workflows.</w:t>
            </w:r>
          </w:p>
        </w:tc>
        <w:tc>
          <w:tcPr>
            <w:tcW w:type="dxa" w:w="2592"/>
            <w:vAlign w:val="top"/>
          </w:tcPr>
          <w:p>
            <w:pPr>
              <w:spacing w:after="40"/>
            </w:pPr>
            <w:r>
              <w:rPr>
                <w:sz w:val="17"/>
              </w:rPr>
              <w:t>LWS et RunPod</w:t>
            </w:r>
          </w:p>
        </w:tc>
        <w:tc>
          <w:tcPr>
            <w:tcW w:type="dxa" w:w="1728"/>
            <w:vAlign w:val="top"/>
          </w:tcPr>
          <w:p>
            <w:pPr>
              <w:spacing w:after="40"/>
            </w:pPr>
            <w:r>
              <w:rPr>
                <w:sz w:val="17"/>
              </w:rPr>
              <w:t>Critique</w:t>
            </w:r>
          </w:p>
        </w:tc>
      </w:tr>
      <w:tr>
        <w:tc>
          <w:tcPr>
            <w:tcW w:type="dxa" w:w="1944"/>
            <w:vAlign w:val="top"/>
          </w:tcPr>
          <w:p>
            <w:pPr>
              <w:spacing w:after="40"/>
            </w:pPr>
            <w:r>
              <w:rPr>
                <w:sz w:val="17"/>
              </w:rPr>
              <w:t>Rive/Lottie</w:t>
            </w:r>
          </w:p>
        </w:tc>
        <w:tc>
          <w:tcPr>
            <w:tcW w:type="dxa" w:w="4032"/>
            <w:vAlign w:val="top"/>
          </w:tcPr>
          <w:p>
            <w:pPr>
              <w:spacing w:after="40"/>
            </w:pPr>
            <w:r>
              <w:rPr>
                <w:sz w:val="17"/>
              </w:rPr>
              <w:t>Animations interactives légères destinées à l’application.</w:t>
            </w:r>
          </w:p>
        </w:tc>
        <w:tc>
          <w:tcPr>
            <w:tcW w:type="dxa" w:w="2592"/>
            <w:vAlign w:val="top"/>
          </w:tcPr>
          <w:p>
            <w:pPr>
              <w:spacing w:after="40"/>
            </w:pPr>
            <w:r>
              <w:rPr>
                <w:sz w:val="17"/>
              </w:rPr>
              <w:t>Création externe puis lecture dans Academia</w:t>
            </w:r>
          </w:p>
        </w:tc>
        <w:tc>
          <w:tcPr>
            <w:tcW w:type="dxa" w:w="1728"/>
            <w:vAlign w:val="top"/>
          </w:tcPr>
          <w:p>
            <w:pPr>
              <w:spacing w:after="40"/>
            </w:pPr>
            <w:r>
              <w:rPr>
                <w:sz w:val="17"/>
              </w:rPr>
              <w:t>Phase ultérieure</w:t>
            </w:r>
          </w:p>
        </w:tc>
      </w:tr>
    </w:tbl>
    <w:p/>
    <w:p>
      <w:pPr>
        <w:pStyle w:val="Heading1"/>
      </w:pPr>
      <w:r>
        <w:t>8. Exigences techniques</w:t>
      </w:r>
    </w:p>
    <w:p>
      <w:pPr>
        <w:pStyle w:val="Heading2"/>
      </w:pPr>
      <w:r>
        <w:t>8.1 Exigences de rendu</w:t>
      </w:r>
    </w:p>
    <w:p>
      <w:pPr>
        <w:pStyle w:val="ListBullet"/>
      </w:pPr>
      <w:r>
        <w:t>Résolution master : 1080 × 1920 pour le vertical; possibilité de brouillons en 540 × 960 ou 720 × 1280.</w:t>
      </w:r>
    </w:p>
    <w:p>
      <w:pPr>
        <w:pStyle w:val="ListBullet"/>
      </w:pPr>
      <w:r>
        <w:t>Cadence : 25 ou 30 images/seconde selon le modèle retenu.</w:t>
      </w:r>
    </w:p>
    <w:p>
      <w:pPr>
        <w:pStyle w:val="ListBullet"/>
      </w:pPr>
      <w:r>
        <w:t>Codec de diffusion : H.264/AAC; master intermédiaire de meilleure qualité conservé si nécessaire.</w:t>
      </w:r>
    </w:p>
    <w:p>
      <w:pPr>
        <w:pStyle w:val="ListBullet"/>
      </w:pPr>
      <w:r>
        <w:t>Sous-titres : SRT/VTT et version incrustée pour les réseaux sociaux.</w:t>
      </w:r>
    </w:p>
    <w:p>
      <w:pPr>
        <w:pStyle w:val="ListBullet"/>
      </w:pPr>
      <w:r>
        <w:t>Audio : voix claire, niveau homogène, musique inférieure à la narration.</w:t>
      </w:r>
    </w:p>
    <w:p>
      <w:pPr>
        <w:pStyle w:val="ListBullet"/>
      </w:pPr>
      <w:r>
        <w:t>Poids : profils distincts pour Academia et réseaux sociaux.</w:t>
      </w:r>
    </w:p>
    <w:p>
      <w:pPr>
        <w:pStyle w:val="ListBullet"/>
      </w:pPr>
      <w:r>
        <w:t>Logo et lien ajoutés par un moteur contrôlé, jamais laissés à la génération aléatoire.</w:t>
      </w:r>
    </w:p>
    <w:p>
      <w:pPr>
        <w:pStyle w:val="Heading2"/>
      </w:pPr>
      <w:r>
        <w:t>8.2 Exigences de performance</w:t>
      </w:r>
    </w:p>
    <w:p>
      <w:pPr>
        <w:pStyle w:val="ListBullet"/>
      </w:pPr>
      <w:r>
        <w:t>Une seule tâche GPU simultanée durant le prototype.</w:t>
      </w:r>
    </w:p>
    <w:p>
      <w:pPr>
        <w:pStyle w:val="ListBullet"/>
      </w:pPr>
      <w:r>
        <w:t>Temps limite configurable par scène et par projet.</w:t>
      </w:r>
    </w:p>
    <w:p>
      <w:pPr>
        <w:pStyle w:val="ListBullet"/>
      </w:pPr>
      <w:r>
        <w:t>Reprise possible d’une scène échouée sans recommencer toute la vidéo.</w:t>
      </w:r>
    </w:p>
    <w:p>
      <w:pPr>
        <w:pStyle w:val="ListBullet"/>
      </w:pPr>
      <w:r>
        <w:t>Regroupement des travaux pour éviter plusieurs démarrages GPU inutiles.</w:t>
      </w:r>
    </w:p>
    <w:p>
      <w:pPr>
        <w:pStyle w:val="ListBullet"/>
      </w:pPr>
      <w:r>
        <w:t>Arrêt automatique après file vide et délai d’inactivité défini.</w:t>
      </w:r>
    </w:p>
    <w:p>
      <w:pPr>
        <w:pStyle w:val="ListBullet"/>
      </w:pPr>
      <w:r>
        <w:t>Suppression des fichiers temporaires selon une politique de rétention.</w:t>
      </w:r>
    </w:p>
    <w:p>
      <w:pPr>
        <w:pStyle w:val="Heading1"/>
      </w:pPr>
      <w:r>
        <w:t>9. Sécurité</w:t>
      </w:r>
    </w:p>
    <w:p>
      <w:pPr>
        <w:pStyle w:val="ListBullet"/>
      </w:pPr>
      <w:r>
        <w:t>Les clés RunPod, SSH et stockage doivent être enregistrées dans des variables d’environnement ou un gestionnaire de secrets.</w:t>
      </w:r>
    </w:p>
    <w:p>
      <w:pPr>
        <w:pStyle w:val="ListBullet"/>
      </w:pPr>
      <w:r>
        <w:t>La clé privée SSH ne doit jamais être copiée dans le code, le dépôt Git, les journaux ou les captures publiques.</w:t>
      </w:r>
    </w:p>
    <w:p>
      <w:pPr>
        <w:pStyle w:val="ListBullet"/>
      </w:pPr>
      <w:r>
        <w:t>Les communications LWS ↔ RunPod doivent être authentifiées et chiffrées.</w:t>
      </w:r>
    </w:p>
    <w:p>
      <w:pPr>
        <w:pStyle w:val="ListBullet"/>
      </w:pPr>
      <w:r>
        <w:t>Les URL de transfert doivent être temporaires ou signées.</w:t>
      </w:r>
    </w:p>
    <w:p>
      <w:pPr>
        <w:pStyle w:val="ListBullet"/>
      </w:pPr>
      <w:r>
        <w:t>Le Worker doit appliquer une liste blanche des workflows et commandes autorisés.</w:t>
      </w:r>
    </w:p>
    <w:p>
      <w:pPr>
        <w:pStyle w:val="ListBullet"/>
      </w:pPr>
      <w:r>
        <w:t>Les entrées utilisateur doivent être validées avant injection dans Blender, Python ou FFmpeg.</w:t>
      </w:r>
    </w:p>
    <w:p>
      <w:pPr>
        <w:pStyle w:val="ListBullet"/>
      </w:pPr>
      <w:r>
        <w:t>Les journaux doivent masquer les tokens, mots de passe et chemins sensibles.</w:t>
      </w:r>
    </w:p>
    <w:p>
      <w:pPr>
        <w:pStyle w:val="Heading1"/>
      </w:pPr>
      <w:r>
        <w:t>10. Contrôle éditorial et conformité</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1F6E8C"/>
            <w:vAlign w:val="center"/>
          </w:tcPr>
          <w:p>
            <w:r>
              <w:rPr>
                <w:b/>
                <w:color w:val="FFFFFF"/>
                <w:sz w:val="18"/>
              </w:rPr>
              <w:t>Contrôle</w:t>
            </w:r>
          </w:p>
        </w:tc>
        <w:tc>
          <w:tcPr>
            <w:tcW w:type="dxa" w:w="8064"/>
            <w:shd w:fill="1F6E8C"/>
            <w:vAlign w:val="center"/>
          </w:tcPr>
          <w:p>
            <w:r>
              <w:rPr>
                <w:b/>
                <w:color w:val="FFFFFF"/>
                <w:sz w:val="18"/>
              </w:rPr>
              <w:t>Règle</w:t>
            </w:r>
          </w:p>
        </w:tc>
      </w:tr>
      <w:tr>
        <w:tc>
          <w:tcPr>
            <w:tcW w:type="dxa" w:w="2448"/>
            <w:vAlign w:val="top"/>
          </w:tcPr>
          <w:p>
            <w:pPr>
              <w:spacing w:after="40"/>
            </w:pPr>
            <w:r>
              <w:rPr>
                <w:sz w:val="17"/>
              </w:rPr>
              <w:t>Identité</w:t>
            </w:r>
          </w:p>
        </w:tc>
        <w:tc>
          <w:tcPr>
            <w:tcW w:type="dxa" w:w="8064"/>
            <w:vAlign w:val="top"/>
          </w:tcPr>
          <w:p>
            <w:pPr>
              <w:spacing w:after="40"/>
            </w:pPr>
            <w:r>
              <w:rPr>
                <w:sz w:val="17"/>
              </w:rPr>
              <w:t>Employer exclusivement « Nexiom Group » et « Academia ».</w:t>
            </w:r>
          </w:p>
        </w:tc>
      </w:tr>
      <w:tr>
        <w:tc>
          <w:tcPr>
            <w:tcW w:type="dxa" w:w="2448"/>
            <w:vAlign w:val="top"/>
          </w:tcPr>
          <w:p>
            <w:pPr>
              <w:spacing w:after="40"/>
            </w:pPr>
            <w:r>
              <w:rPr>
                <w:sz w:val="17"/>
              </w:rPr>
              <w:t>Lien</w:t>
            </w:r>
          </w:p>
        </w:tc>
        <w:tc>
          <w:tcPr>
            <w:tcW w:type="dxa" w:w="8064"/>
            <w:vAlign w:val="top"/>
          </w:tcPr>
          <w:p>
            <w:pPr>
              <w:spacing w:after="40"/>
            </w:pPr>
            <w:r>
              <w:rPr>
                <w:sz w:val="17"/>
              </w:rPr>
              <w:t>Utiliser exclusivement https://app.academiea.com.</w:t>
            </w:r>
          </w:p>
        </w:tc>
      </w:tr>
      <w:tr>
        <w:tc>
          <w:tcPr>
            <w:tcW w:type="dxa" w:w="2448"/>
            <w:vAlign w:val="top"/>
          </w:tcPr>
          <w:p>
            <w:pPr>
              <w:spacing w:after="40"/>
            </w:pPr>
            <w:r>
              <w:rPr>
                <w:sz w:val="17"/>
              </w:rPr>
              <w:t>Google Play</w:t>
            </w:r>
          </w:p>
        </w:tc>
        <w:tc>
          <w:tcPr>
            <w:tcW w:type="dxa" w:w="8064"/>
            <w:vAlign w:val="top"/>
          </w:tcPr>
          <w:p>
            <w:pPr>
              <w:spacing w:after="40"/>
            </w:pPr>
            <w:r>
              <w:rPr>
                <w:sz w:val="17"/>
              </w:rPr>
              <w:t>Pour expliquer la recherche de l’application, utiliser le nom exact Academia « Nexiom Group ».</w:t>
            </w:r>
          </w:p>
        </w:tc>
      </w:tr>
      <w:tr>
        <w:tc>
          <w:tcPr>
            <w:tcW w:type="dxa" w:w="2448"/>
            <w:vAlign w:val="top"/>
          </w:tcPr>
          <w:p>
            <w:pPr>
              <w:spacing w:after="40"/>
            </w:pPr>
            <w:r>
              <w:rPr>
                <w:sz w:val="17"/>
              </w:rPr>
              <w:t>Courtage</w:t>
            </w:r>
          </w:p>
        </w:tc>
        <w:tc>
          <w:tcPr>
            <w:tcW w:type="dxa" w:w="8064"/>
            <w:vAlign w:val="top"/>
          </w:tcPr>
          <w:p>
            <w:pPr>
              <w:spacing w:after="40"/>
            </w:pPr>
            <w:r>
              <w:rPr>
                <w:sz w:val="17"/>
              </w:rPr>
              <w:t>Ne garantir ni admission, ni réduction, ni facilité, ni résultat.</w:t>
            </w:r>
          </w:p>
        </w:tc>
      </w:tr>
      <w:tr>
        <w:tc>
          <w:tcPr>
            <w:tcW w:type="dxa" w:w="2448"/>
            <w:vAlign w:val="top"/>
          </w:tcPr>
          <w:p>
            <w:pPr>
              <w:spacing w:after="40"/>
            </w:pPr>
            <w:r>
              <w:rPr>
                <w:sz w:val="17"/>
              </w:rPr>
              <w:t>Partenaires</w:t>
            </w:r>
          </w:p>
        </w:tc>
        <w:tc>
          <w:tcPr>
            <w:tcW w:type="dxa" w:w="8064"/>
            <w:vAlign w:val="top"/>
          </w:tcPr>
          <w:p>
            <w:pPr>
              <w:spacing w:after="40"/>
            </w:pPr>
            <w:r>
              <w:rPr>
                <w:sz w:val="17"/>
              </w:rPr>
              <w:t>Ne pas citer un partenaire dans une communication générale sans autorisation explicite.</w:t>
            </w:r>
          </w:p>
        </w:tc>
      </w:tr>
      <w:tr>
        <w:tc>
          <w:tcPr>
            <w:tcW w:type="dxa" w:w="2448"/>
            <w:vAlign w:val="top"/>
          </w:tcPr>
          <w:p>
            <w:pPr>
              <w:spacing w:after="40"/>
            </w:pPr>
            <w:r>
              <w:rPr>
                <w:sz w:val="17"/>
              </w:rPr>
              <w:t>Institutions</w:t>
            </w:r>
          </w:p>
        </w:tc>
        <w:tc>
          <w:tcPr>
            <w:tcW w:type="dxa" w:w="8064"/>
            <w:vAlign w:val="top"/>
          </w:tcPr>
          <w:p>
            <w:pPr>
              <w:spacing w:after="40"/>
            </w:pPr>
            <w:r>
              <w:rPr>
                <w:sz w:val="17"/>
              </w:rPr>
              <w:t>Respecter Campus Faso, les ministères, les établissements publics et privés.</w:t>
            </w:r>
          </w:p>
        </w:tc>
      </w:tr>
      <w:tr>
        <w:tc>
          <w:tcPr>
            <w:tcW w:type="dxa" w:w="2448"/>
            <w:vAlign w:val="top"/>
          </w:tcPr>
          <w:p>
            <w:pPr>
              <w:spacing w:after="40"/>
            </w:pPr>
            <w:r>
              <w:rPr>
                <w:sz w:val="17"/>
              </w:rPr>
              <w:t>Fonctionnalités</w:t>
            </w:r>
          </w:p>
        </w:tc>
        <w:tc>
          <w:tcPr>
            <w:tcW w:type="dxa" w:w="8064"/>
            <w:vAlign w:val="top"/>
          </w:tcPr>
          <w:p>
            <w:pPr>
              <w:spacing w:after="40"/>
            </w:pPr>
            <w:r>
              <w:rPr>
                <w:sz w:val="17"/>
              </w:rPr>
              <w:t>Ne pas annoncer une fonction d’Academia avant sa disponibilité réelle.</w:t>
            </w:r>
          </w:p>
        </w:tc>
      </w:tr>
      <w:tr>
        <w:tc>
          <w:tcPr>
            <w:tcW w:type="dxa" w:w="2448"/>
            <w:vAlign w:val="top"/>
          </w:tcPr>
          <w:p>
            <w:pPr>
              <w:spacing w:after="40"/>
            </w:pPr>
            <w:r>
              <w:rPr>
                <w:sz w:val="17"/>
              </w:rPr>
              <w:t>Action externe</w:t>
            </w:r>
          </w:p>
        </w:tc>
        <w:tc>
          <w:tcPr>
            <w:tcW w:type="dxa" w:w="8064"/>
            <w:vAlign w:val="top"/>
          </w:tcPr>
          <w:p>
            <w:pPr>
              <w:spacing w:after="40"/>
            </w:pPr>
            <w:r>
              <w:rPr>
                <w:sz w:val="17"/>
              </w:rPr>
              <w:t>Aucune publication ou programmation sans validation explicite.</w:t>
            </w:r>
          </w:p>
        </w:tc>
      </w:tr>
    </w:tbl>
    <w:p/>
    <w:p>
      <w:pPr>
        <w:pStyle w:val="Heading1"/>
      </w:pPr>
      <w:r>
        <w:t>11. Statuts de production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6E8C"/>
            <w:vAlign w:val="center"/>
          </w:tcPr>
          <w:p>
            <w:r>
              <w:rPr>
                <w:b/>
                <w:color w:val="FFFFFF"/>
                <w:sz w:val="18"/>
              </w:rPr>
              <w:t>Statut</w:t>
            </w:r>
          </w:p>
        </w:tc>
        <w:tc>
          <w:tcPr>
            <w:tcW w:type="dxa" w:w="7488"/>
            <w:shd w:fill="1F6E8C"/>
            <w:vAlign w:val="center"/>
          </w:tcPr>
          <w:p>
            <w:r>
              <w:rPr>
                <w:b/>
                <w:color w:val="FFFFFF"/>
                <w:sz w:val="18"/>
              </w:rPr>
              <w:t>Signification</w:t>
            </w:r>
          </w:p>
        </w:tc>
      </w:tr>
      <w:tr>
        <w:tc>
          <w:tcPr>
            <w:tcW w:type="dxa" w:w="2880"/>
            <w:vAlign w:val="top"/>
          </w:tcPr>
          <w:p>
            <w:pPr>
              <w:spacing w:after="40"/>
            </w:pPr>
            <w:r>
              <w:rPr>
                <w:sz w:val="17"/>
              </w:rPr>
              <w:t>DRAFT</w:t>
            </w:r>
          </w:p>
        </w:tc>
        <w:tc>
          <w:tcPr>
            <w:tcW w:type="dxa" w:w="7488"/>
            <w:vAlign w:val="top"/>
          </w:tcPr>
          <w:p>
            <w:pPr>
              <w:spacing w:after="40"/>
            </w:pPr>
            <w:r>
              <w:rPr>
                <w:sz w:val="17"/>
              </w:rPr>
              <w:t>Projet en préparation.</w:t>
            </w:r>
          </w:p>
        </w:tc>
      </w:tr>
      <w:tr>
        <w:tc>
          <w:tcPr>
            <w:tcW w:type="dxa" w:w="2880"/>
            <w:vAlign w:val="top"/>
          </w:tcPr>
          <w:p>
            <w:pPr>
              <w:spacing w:after="40"/>
            </w:pPr>
            <w:r>
              <w:rPr>
                <w:sz w:val="17"/>
              </w:rPr>
              <w:t>EDITORIAL_REVIEW</w:t>
            </w:r>
          </w:p>
        </w:tc>
        <w:tc>
          <w:tcPr>
            <w:tcW w:type="dxa" w:w="7488"/>
            <w:vAlign w:val="top"/>
          </w:tcPr>
          <w:p>
            <w:pPr>
              <w:spacing w:after="40"/>
            </w:pPr>
            <w:r>
              <w:rPr>
                <w:sz w:val="17"/>
              </w:rPr>
              <w:t>Texte et storyboard en vérification.</w:t>
            </w:r>
          </w:p>
        </w:tc>
      </w:tr>
      <w:tr>
        <w:tc>
          <w:tcPr>
            <w:tcW w:type="dxa" w:w="2880"/>
            <w:vAlign w:val="top"/>
          </w:tcPr>
          <w:p>
            <w:pPr>
              <w:spacing w:after="40"/>
            </w:pPr>
            <w:r>
              <w:rPr>
                <w:sz w:val="17"/>
              </w:rPr>
              <w:t>QUEUED</w:t>
            </w:r>
          </w:p>
        </w:tc>
        <w:tc>
          <w:tcPr>
            <w:tcW w:type="dxa" w:w="7488"/>
            <w:vAlign w:val="top"/>
          </w:tcPr>
          <w:p>
            <w:pPr>
              <w:spacing w:after="40"/>
            </w:pPr>
            <w:r>
              <w:rPr>
                <w:sz w:val="17"/>
              </w:rPr>
              <w:t>Prêt et placé dans la file.</w:t>
            </w:r>
          </w:p>
        </w:tc>
      </w:tr>
      <w:tr>
        <w:tc>
          <w:tcPr>
            <w:tcW w:type="dxa" w:w="2880"/>
            <w:vAlign w:val="top"/>
          </w:tcPr>
          <w:p>
            <w:pPr>
              <w:spacing w:after="40"/>
            </w:pPr>
            <w:r>
              <w:rPr>
                <w:sz w:val="17"/>
              </w:rPr>
              <w:t>GPU_STARTING</w:t>
            </w:r>
          </w:p>
        </w:tc>
        <w:tc>
          <w:tcPr>
            <w:tcW w:type="dxa" w:w="7488"/>
            <w:vAlign w:val="top"/>
          </w:tcPr>
          <w:p>
            <w:pPr>
              <w:spacing w:after="40"/>
            </w:pPr>
            <w:r>
              <w:rPr>
                <w:sz w:val="17"/>
              </w:rPr>
              <w:t>Ressource RunPod en démarrage.</w:t>
            </w:r>
          </w:p>
        </w:tc>
      </w:tr>
      <w:tr>
        <w:tc>
          <w:tcPr>
            <w:tcW w:type="dxa" w:w="2880"/>
            <w:vAlign w:val="top"/>
          </w:tcPr>
          <w:p>
            <w:pPr>
              <w:spacing w:after="40"/>
            </w:pPr>
            <w:r>
              <w:rPr>
                <w:sz w:val="17"/>
              </w:rPr>
              <w:t>RENDERING</w:t>
            </w:r>
          </w:p>
        </w:tc>
        <w:tc>
          <w:tcPr>
            <w:tcW w:type="dxa" w:w="7488"/>
            <w:vAlign w:val="top"/>
          </w:tcPr>
          <w:p>
            <w:pPr>
              <w:spacing w:after="40"/>
            </w:pPr>
            <w:r>
              <w:rPr>
                <w:sz w:val="17"/>
              </w:rPr>
              <w:t>Génération ou rendu en cours.</w:t>
            </w:r>
          </w:p>
        </w:tc>
      </w:tr>
      <w:tr>
        <w:tc>
          <w:tcPr>
            <w:tcW w:type="dxa" w:w="2880"/>
            <w:vAlign w:val="top"/>
          </w:tcPr>
          <w:p>
            <w:pPr>
              <w:spacing w:after="40"/>
            </w:pPr>
            <w:r>
              <w:rPr>
                <w:sz w:val="17"/>
              </w:rPr>
              <w:t>ASSEMBLING</w:t>
            </w:r>
          </w:p>
        </w:tc>
        <w:tc>
          <w:tcPr>
            <w:tcW w:type="dxa" w:w="7488"/>
            <w:vAlign w:val="top"/>
          </w:tcPr>
          <w:p>
            <w:pPr>
              <w:spacing w:after="40"/>
            </w:pPr>
            <w:r>
              <w:rPr>
                <w:sz w:val="17"/>
              </w:rPr>
              <w:t>Montage et encodage sur LWS.</w:t>
            </w:r>
          </w:p>
        </w:tc>
      </w:tr>
      <w:tr>
        <w:tc>
          <w:tcPr>
            <w:tcW w:type="dxa" w:w="2880"/>
            <w:vAlign w:val="top"/>
          </w:tcPr>
          <w:p>
            <w:pPr>
              <w:spacing w:after="40"/>
            </w:pPr>
            <w:r>
              <w:rPr>
                <w:sz w:val="17"/>
              </w:rPr>
              <w:t>QC_FAILED</w:t>
            </w:r>
          </w:p>
        </w:tc>
        <w:tc>
          <w:tcPr>
            <w:tcW w:type="dxa" w:w="7488"/>
            <w:vAlign w:val="top"/>
          </w:tcPr>
          <w:p>
            <w:pPr>
              <w:spacing w:after="40"/>
            </w:pPr>
            <w:r>
              <w:rPr>
                <w:sz w:val="17"/>
              </w:rPr>
              <w:t>Contrôle automatique échoué.</w:t>
            </w:r>
          </w:p>
        </w:tc>
      </w:tr>
      <w:tr>
        <w:tc>
          <w:tcPr>
            <w:tcW w:type="dxa" w:w="2880"/>
            <w:vAlign w:val="top"/>
          </w:tcPr>
          <w:p>
            <w:pPr>
              <w:spacing w:after="40"/>
            </w:pPr>
            <w:r>
              <w:rPr>
                <w:sz w:val="17"/>
              </w:rPr>
              <w:t>PREVIEW_READY</w:t>
            </w:r>
          </w:p>
        </w:tc>
        <w:tc>
          <w:tcPr>
            <w:tcW w:type="dxa" w:w="7488"/>
            <w:vAlign w:val="top"/>
          </w:tcPr>
          <w:p>
            <w:pPr>
              <w:spacing w:after="40"/>
            </w:pPr>
            <w:r>
              <w:rPr>
                <w:sz w:val="17"/>
              </w:rPr>
              <w:t>Brouillon disponible.</w:t>
            </w:r>
          </w:p>
        </w:tc>
      </w:tr>
      <w:tr>
        <w:tc>
          <w:tcPr>
            <w:tcW w:type="dxa" w:w="2880"/>
            <w:vAlign w:val="top"/>
          </w:tcPr>
          <w:p>
            <w:pPr>
              <w:spacing w:after="40"/>
            </w:pPr>
            <w:r>
              <w:rPr>
                <w:sz w:val="17"/>
              </w:rPr>
              <w:t>REVISION_REQUIRED</w:t>
            </w:r>
          </w:p>
        </w:tc>
        <w:tc>
          <w:tcPr>
            <w:tcW w:type="dxa" w:w="7488"/>
            <w:vAlign w:val="top"/>
          </w:tcPr>
          <w:p>
            <w:pPr>
              <w:spacing w:after="40"/>
            </w:pPr>
            <w:r>
              <w:rPr>
                <w:sz w:val="17"/>
              </w:rPr>
              <w:t>Correction demandée.</w:t>
            </w:r>
          </w:p>
        </w:tc>
      </w:tr>
      <w:tr>
        <w:tc>
          <w:tcPr>
            <w:tcW w:type="dxa" w:w="2880"/>
            <w:vAlign w:val="top"/>
          </w:tcPr>
          <w:p>
            <w:pPr>
              <w:spacing w:after="40"/>
            </w:pPr>
            <w:r>
              <w:rPr>
                <w:sz w:val="17"/>
              </w:rPr>
              <w:t>APPROVED</w:t>
            </w:r>
          </w:p>
        </w:tc>
        <w:tc>
          <w:tcPr>
            <w:tcW w:type="dxa" w:w="7488"/>
            <w:vAlign w:val="top"/>
          </w:tcPr>
          <w:p>
            <w:pPr>
              <w:spacing w:after="40"/>
            </w:pPr>
            <w:r>
              <w:rPr>
                <w:sz w:val="17"/>
              </w:rPr>
              <w:t>Validé pour usage interne ou publication manuelle.</w:t>
            </w:r>
          </w:p>
        </w:tc>
      </w:tr>
      <w:tr>
        <w:tc>
          <w:tcPr>
            <w:tcW w:type="dxa" w:w="2880"/>
            <w:vAlign w:val="top"/>
          </w:tcPr>
          <w:p>
            <w:pPr>
              <w:spacing w:after="40"/>
            </w:pPr>
            <w:r>
              <w:rPr>
                <w:sz w:val="17"/>
              </w:rPr>
              <w:t>ARCHIVED</w:t>
            </w:r>
          </w:p>
        </w:tc>
        <w:tc>
          <w:tcPr>
            <w:tcW w:type="dxa" w:w="7488"/>
            <w:vAlign w:val="top"/>
          </w:tcPr>
          <w:p>
            <w:pPr>
              <w:spacing w:after="40"/>
            </w:pPr>
            <w:r>
              <w:rPr>
                <w:sz w:val="17"/>
              </w:rPr>
              <w:t>Projet terminé et archivé.</w:t>
            </w:r>
          </w:p>
        </w:tc>
      </w:tr>
    </w:tbl>
    <w:p/>
    <w:p>
      <w:pPr>
        <w:pStyle w:val="Heading1"/>
      </w:pPr>
      <w:r>
        <w:t>12. Indicateurs de suivi</w:t>
      </w:r>
    </w:p>
    <w:p>
      <w:pPr>
        <w:pStyle w:val="ListBullet"/>
      </w:pPr>
      <w:r>
        <w:t>Coût GPU par projet et par scène.</w:t>
      </w:r>
    </w:p>
    <w:p>
      <w:pPr>
        <w:pStyle w:val="ListBullet"/>
      </w:pPr>
      <w:r>
        <w:t>Temps de démarrage, génération, rendu, assemblage et validation.</w:t>
      </w:r>
    </w:p>
    <w:p>
      <w:pPr>
        <w:pStyle w:val="ListBullet"/>
      </w:pPr>
      <w:r>
        <w:t>Taux d’échec et causes des erreurs.</w:t>
      </w:r>
    </w:p>
    <w:p>
      <w:pPr>
        <w:pStyle w:val="ListBullet"/>
      </w:pPr>
      <w:r>
        <w:t>Nombre de reprises par scène.</w:t>
      </w:r>
    </w:p>
    <w:p>
      <w:pPr>
        <w:pStyle w:val="ListBullet"/>
      </w:pPr>
      <w:r>
        <w:t>Poids et durée des exports.</w:t>
      </w:r>
    </w:p>
    <w:p>
      <w:pPr>
        <w:pStyle w:val="ListBullet"/>
      </w:pPr>
      <w:r>
        <w:t>Après diffusion : portée, démarrages, rétention, complétion, clics vers Academia et demandes de courtage.</w:t>
      </w:r>
    </w:p>
    <w:p>
      <w:pPr>
        <w:pStyle w:val="Heading1"/>
      </w:pPr>
      <w:r>
        <w:t>13. Phasage recommandé</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944"/>
            <w:shd w:fill="1F6E8C"/>
            <w:vAlign w:val="center"/>
          </w:tcPr>
          <w:p>
            <w:r>
              <w:rPr>
                <w:b/>
                <w:color w:val="FFFFFF"/>
                <w:sz w:val="18"/>
              </w:rPr>
              <w:t>Phase</w:t>
            </w:r>
          </w:p>
        </w:tc>
        <w:tc>
          <w:tcPr>
            <w:tcW w:type="dxa" w:w="5184"/>
            <w:shd w:fill="1F6E8C"/>
            <w:vAlign w:val="center"/>
          </w:tcPr>
          <w:p>
            <w:r>
              <w:rPr>
                <w:b/>
                <w:color w:val="FFFFFF"/>
                <w:sz w:val="18"/>
              </w:rPr>
              <w:t>Livrable</w:t>
            </w:r>
          </w:p>
        </w:tc>
        <w:tc>
          <w:tcPr>
            <w:tcW w:type="dxa" w:w="3744"/>
            <w:shd w:fill="1F6E8C"/>
            <w:vAlign w:val="center"/>
          </w:tcPr>
          <w:p>
            <w:r>
              <w:rPr>
                <w:b/>
                <w:color w:val="FFFFFF"/>
                <w:sz w:val="18"/>
              </w:rPr>
              <w:t>Décision de passage</w:t>
            </w:r>
          </w:p>
        </w:tc>
      </w:tr>
      <w:tr>
        <w:tc>
          <w:tcPr>
            <w:tcW w:type="dxa" w:w="1944"/>
            <w:vAlign w:val="top"/>
          </w:tcPr>
          <w:p>
            <w:pPr>
              <w:spacing w:after="40"/>
            </w:pPr>
            <w:r>
              <w:rPr>
                <w:sz w:val="17"/>
              </w:rPr>
              <w:t>1. Prototype manuel</w:t>
            </w:r>
          </w:p>
        </w:tc>
        <w:tc>
          <w:tcPr>
            <w:tcW w:type="dxa" w:w="5184"/>
            <w:vAlign w:val="top"/>
          </w:tcPr>
          <w:p>
            <w:pPr>
              <w:spacing w:after="40"/>
            </w:pPr>
            <w:r>
              <w:rPr>
                <w:sz w:val="17"/>
              </w:rPr>
              <w:t>Un Pod RunPod configuré, un workflow ComfyUI, une scène Blender et une vidéo de 30-60 secondes.</w:t>
            </w:r>
          </w:p>
        </w:tc>
        <w:tc>
          <w:tcPr>
            <w:tcW w:type="dxa" w:w="3744"/>
            <w:vAlign w:val="top"/>
          </w:tcPr>
          <w:p>
            <w:pPr>
              <w:spacing w:after="40"/>
            </w:pPr>
            <w:r>
              <w:rPr>
                <w:sz w:val="17"/>
              </w:rPr>
              <w:t>Qualité visuelle validée et coût mesuré.</w:t>
            </w:r>
          </w:p>
        </w:tc>
      </w:tr>
      <w:tr>
        <w:tc>
          <w:tcPr>
            <w:tcW w:type="dxa" w:w="1944"/>
            <w:vAlign w:val="top"/>
          </w:tcPr>
          <w:p>
            <w:pPr>
              <w:spacing w:after="40"/>
            </w:pPr>
            <w:r>
              <w:rPr>
                <w:sz w:val="17"/>
              </w:rPr>
              <w:t>2. Worker LWS</w:t>
            </w:r>
          </w:p>
        </w:tc>
        <w:tc>
          <w:tcPr>
            <w:tcW w:type="dxa" w:w="5184"/>
            <w:vAlign w:val="top"/>
          </w:tcPr>
          <w:p>
            <w:pPr>
              <w:spacing w:after="40"/>
            </w:pPr>
            <w:r>
              <w:rPr>
                <w:sz w:val="17"/>
              </w:rPr>
              <w:t>File d’attente, transfert de fichiers, déclenchement, récupération et arrêt automatique.</w:t>
            </w:r>
          </w:p>
        </w:tc>
        <w:tc>
          <w:tcPr>
            <w:tcW w:type="dxa" w:w="3744"/>
            <w:vAlign w:val="top"/>
          </w:tcPr>
          <w:p>
            <w:pPr>
              <w:spacing w:after="40"/>
            </w:pPr>
            <w:r>
              <w:rPr>
                <w:sz w:val="17"/>
              </w:rPr>
              <w:t>Une production complète sans intervention technique permanente.</w:t>
            </w:r>
          </w:p>
        </w:tc>
      </w:tr>
      <w:tr>
        <w:tc>
          <w:tcPr>
            <w:tcW w:type="dxa" w:w="1944"/>
            <w:vAlign w:val="top"/>
          </w:tcPr>
          <w:p>
            <w:pPr>
              <w:spacing w:after="40"/>
            </w:pPr>
            <w:r>
              <w:rPr>
                <w:sz w:val="17"/>
              </w:rPr>
              <w:t>3. Bibliothèque de modèles</w:t>
            </w:r>
          </w:p>
        </w:tc>
        <w:tc>
          <w:tcPr>
            <w:tcW w:type="dxa" w:w="5184"/>
            <w:vAlign w:val="top"/>
          </w:tcPr>
          <w:p>
            <w:pPr>
              <w:spacing w:after="40"/>
            </w:pPr>
            <w:r>
              <w:rPr>
                <w:sz w:val="17"/>
              </w:rPr>
              <w:t>Trois à cinq modèles : orientation, métier, courtage, conseil et annonce.</w:t>
            </w:r>
          </w:p>
        </w:tc>
        <w:tc>
          <w:tcPr>
            <w:tcW w:type="dxa" w:w="3744"/>
            <w:vAlign w:val="top"/>
          </w:tcPr>
          <w:p>
            <w:pPr>
              <w:spacing w:after="40"/>
            </w:pPr>
            <w:r>
              <w:rPr>
                <w:sz w:val="17"/>
              </w:rPr>
              <w:t>Réutilisation réelle et cohérence de marque.</w:t>
            </w:r>
          </w:p>
        </w:tc>
      </w:tr>
      <w:tr>
        <w:tc>
          <w:tcPr>
            <w:tcW w:type="dxa" w:w="1944"/>
            <w:vAlign w:val="top"/>
          </w:tcPr>
          <w:p>
            <w:pPr>
              <w:spacing w:after="40"/>
            </w:pPr>
            <w:r>
              <w:rPr>
                <w:sz w:val="17"/>
              </w:rPr>
              <w:t>4. Serverless</w:t>
            </w:r>
          </w:p>
        </w:tc>
        <w:tc>
          <w:tcPr>
            <w:tcW w:type="dxa" w:w="5184"/>
            <w:vAlign w:val="top"/>
          </w:tcPr>
          <w:p>
            <w:pPr>
              <w:spacing w:after="40"/>
            </w:pPr>
            <w:r>
              <w:rPr>
                <w:sz w:val="17"/>
              </w:rPr>
              <w:t>Image Docker et endpoint à file d’attente avec retour automatique à zéro.</w:t>
            </w:r>
          </w:p>
        </w:tc>
        <w:tc>
          <w:tcPr>
            <w:tcW w:type="dxa" w:w="3744"/>
            <w:vAlign w:val="top"/>
          </w:tcPr>
          <w:p>
            <w:pPr>
              <w:spacing w:after="40"/>
            </w:pPr>
            <w:r>
              <w:rPr>
                <w:sz w:val="17"/>
              </w:rPr>
              <w:t>Coût inférieur ou égal au Pod pour le volume observé.</w:t>
            </w:r>
          </w:p>
        </w:tc>
      </w:tr>
      <w:tr>
        <w:tc>
          <w:tcPr>
            <w:tcW w:type="dxa" w:w="1944"/>
            <w:vAlign w:val="top"/>
          </w:tcPr>
          <w:p>
            <w:pPr>
              <w:spacing w:after="40"/>
            </w:pPr>
            <w:r>
              <w:rPr>
                <w:sz w:val="17"/>
              </w:rPr>
              <w:t>5. Intégration Academia</w:t>
            </w:r>
          </w:p>
        </w:tc>
        <w:tc>
          <w:tcPr>
            <w:tcW w:type="dxa" w:w="5184"/>
            <w:vAlign w:val="top"/>
          </w:tcPr>
          <w:p>
            <w:pPr>
              <w:spacing w:after="40"/>
            </w:pPr>
            <w:r>
              <w:rPr>
                <w:sz w:val="17"/>
              </w:rPr>
              <w:t>Back-office, prévisualisation, validation et statistiques.</w:t>
            </w:r>
          </w:p>
        </w:tc>
        <w:tc>
          <w:tcPr>
            <w:tcW w:type="dxa" w:w="3744"/>
            <w:vAlign w:val="top"/>
          </w:tcPr>
          <w:p>
            <w:pPr>
              <w:spacing w:after="40"/>
            </w:pPr>
            <w:r>
              <w:rPr>
                <w:sz w:val="17"/>
              </w:rPr>
              <w:t>Sécurité, stabilité et conformité validées.</w:t>
            </w:r>
          </w:p>
        </w:tc>
      </w:tr>
    </w:tbl>
    <w:p/>
    <w:p>
      <w:pPr>
        <w:pStyle w:val="Heading1"/>
      </w:pPr>
      <w:r>
        <w:t>14. Critères de recette</w:t>
      </w:r>
    </w:p>
    <w:p>
      <w:r>
        <w:t>☐ Une demande créée sur LWS produit automatiquement un job identifiable.</w:t>
      </w:r>
    </w:p>
    <w:p>
      <w:r>
        <w:t>☐ Le GPU RunPod démarre ou reçoit la demande sans exposer la clé API.</w:t>
      </w:r>
    </w:p>
    <w:p>
      <w:r>
        <w:t>☐ Le workflow sélectionné est bien celui autorisé par le projet.</w:t>
      </w:r>
    </w:p>
    <w:p>
      <w:r>
        <w:t>☐ Les résultats reviennent sur LWS avec un manifeste vérifiable.</w:t>
      </w:r>
    </w:p>
    <w:p>
      <w:r>
        <w:t>☐ FFmpeg produit un MP4 lisible, avec voix, sous-titres et signature.</w:t>
      </w:r>
    </w:p>
    <w:p>
      <w:r>
        <w:t>☐ Le brouillon est visible dans le back-office mais n’est pas publié.</w:t>
      </w:r>
    </w:p>
    <w:p>
      <w:r>
        <w:t>☐ Une correction peut relancer seulement les scènes concernées.</w:t>
      </w:r>
    </w:p>
    <w:p>
      <w:r>
        <w:t>☐ Le GPU s’arrête lorsque la file est vide.</w:t>
      </w:r>
    </w:p>
    <w:p>
      <w:r>
        <w:t>☐ Le coût et le temps de production sont enregistrés.</w:t>
      </w:r>
    </w:p>
    <w:p>
      <w:r>
        <w:t>☐ Les secrets sont absents des journaux et des fichiers exportés.</w:t>
      </w:r>
    </w:p>
    <w:p>
      <w:pPr>
        <w:pStyle w:val="Heading1"/>
      </w:pPr>
      <w:r>
        <w:t>15. Hypothèses et limites</w:t>
      </w:r>
    </w:p>
    <w:p>
      <w:r>
        <w:t>L’identification exacte du logiciel utilisé dans la vidéo de référence ne peut pas être garantie à partir du fichier final. Le cahier des charges décrit un pipeline capable de produire un résultat visuel comparable dans son principe, sans copier les scènes, le texte, la voix ou les éléments protégés de l’œuvre d’origine. Les simulations volumétriques complexes peuvent exiger davantage de temps, de VRAM et d’optimisation que les animations filaires et procédurales simples.</w:t>
      </w:r>
    </w:p>
    <w:p>
      <w:pPr>
        <w:pStyle w:val="Heading1"/>
      </w:pPr>
      <w:r>
        <w:t>16. Références techniques officielles</w:t>
      </w:r>
    </w:p>
    <w:p>
      <w:pPr>
        <w:pStyle w:val="ListBullet"/>
      </w:pPr>
      <w:r>
        <w:t>RunPod - Création, arrêt et suppression des Pods : https://docs.runpod.io/pods/manage-pods</w:t>
      </w:r>
    </w:p>
    <w:p>
      <w:pPr>
        <w:pStyle w:val="ListBullet"/>
      </w:pPr>
      <w:r>
        <w:t>RunPod - API de création des Pods : https://docs.runpod.io/api-reference/pods/POST/pods</w:t>
      </w:r>
    </w:p>
    <w:p>
      <w:pPr>
        <w:pStyle w:val="ListBullet"/>
      </w:pPr>
      <w:r>
        <w:t>RunPod - Requêtes Serverless et files d’attente : https://docs.runpod.io/serverless/endpoints/send-requests</w:t>
      </w:r>
    </w:p>
    <w:p>
      <w:pPr>
        <w:pStyle w:val="ListBullet"/>
      </w:pPr>
      <w:r>
        <w:t>RunPod - Fonctionnement Serverless et paiement à l’usage : https://docs.runpod.io/serverless/overview</w:t>
      </w:r>
    </w:p>
    <w:p>
      <w:pPr>
        <w:pStyle w:val="ListBullet"/>
      </w:pPr>
      <w:r>
        <w:t>RunPod - Paramètres d’auto-scaling et délai d’inactivité : https://docs.runpod.io/runpodctl/reference/runpodctl-serverless</w:t>
      </w:r>
    </w:p>
    <w:p>
      <w:pPr>
        <w:pStyle w:val="ListBullet"/>
      </w:pPr>
      <w:r>
        <w:t>Blender - Rendu en ligne de commande et mode arrière-plan : https://docs.blender.org/manual/en/latest/advanced/command_line/render.html</w:t>
      </w:r>
    </w:p>
    <w:p>
      <w:pPr>
        <w:pStyle w:val="ListBullet"/>
      </w:pPr>
      <w:r>
        <w:t>ComfyUI - Workflows en format API : https://docs.comfy.org/development/api-development/workflow-api-format</w:t>
      </w:r>
    </w:p>
    <w:p>
      <w:pPr>
        <w:pStyle w:val="ListBullet"/>
      </w:pPr>
      <w:r>
        <w:t>ComfyUI - Exemples d’utilisation de l’API serveur : https://docs.comfy.org/development/comfyui-server/api-examples</w:t>
      </w:r>
    </w:p>
    <w:p>
      <w:pPr>
        <w:pStyle w:val="Heading1"/>
      </w:pPr>
      <w:r>
        <w:t>17. Validation du cahier des charges</w:t>
      </w:r>
    </w:p>
    <w:p>
      <w:r>
        <w:t>Points à confirmer avant le développement :</w:t>
      </w:r>
    </w:p>
    <w:p>
      <w:r>
        <w:t>☐ GPU de prototype retenu : RTX 3090, RTX 4090 ou autre.</w:t>
      </w:r>
    </w:p>
    <w:p>
      <w:r>
        <w:t>☐ Budget maximal de test.</w:t>
      </w:r>
    </w:p>
    <w:p>
      <w:r>
        <w:t>☐ Format de la première capsule pilote.</w:t>
      </w:r>
    </w:p>
    <w:p>
      <w:r>
        <w:t>☐ Voix humaine, voix synthétique locale ou autre solution autorisée.</w:t>
      </w:r>
    </w:p>
    <w:p>
      <w:r>
        <w:t>☐ Stockage final : LWS, Supabase Storage ou stockage objet dédié.</w:t>
      </w:r>
    </w:p>
    <w:p>
      <w:r>
        <w:t>☐ Technologie du Worker LWS : Python/Celery ou Node.js/BullMQ.</w:t>
      </w:r>
    </w:p>
    <w:p>
      <w:r>
        <w:t>☐ Niveau d’intégration initial dans Academia.</w:t>
      </w:r>
    </w:p>
    <w:p>
      <w:r>
        <w:br/>
        <w:t>Validation : ________________________________    Date : __________________</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Nexiom Group - Cahier des charges Studio visuel Academia - Document de travail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6E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E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6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