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01/03/2027 ATÉ: 01/03/2027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01/03/2027 ATÉ: 03/03/2027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04/03/2027 ATÉ: 06/03/2027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07/03/2027 ATÉ: 07/03/2027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9 Diária(s), de: 27/02/2027 até: 07/03/2027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(S), 1 Diária(s), de: 01/03/2027 até: 01/03/2027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(S), 7 Diária(s), de: 01/03/2027 até: 07/03/2027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Fiscal De MarcaçãO, (S), 1 Diária(s), de: 01/03/2027 até: 01/03/2027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Fiscal Diurno, (S), 7 Diária(s), de: 01/03/2027 até: 07/03/2027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Noturno, (S), 7 Diária(s), de: 01/03/2027 até: 07/03/2027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R$ 93.435,20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