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BLOOD COMUNICAÇÃO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TATIANA – Celular:</w:t>
            </w:r>
            <w:r w:rsidR="004E0CD7" w:rsidRPr="004156F8">
              <w:rPr>
                <w:szCs w:val="24"/>
                <w:u w:val="single"/>
              </w:rPr>
              <w:t xml:space="preserve">21986755138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tatiana.favila@blood.ag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ENIC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16/05/2026 ATÉ: 16/05/2026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16/05/2026 ATÉ: 18/05/2026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19/05/2026 ATÉ: 21/05/2026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22/05/2026 ATÉ: 22/05/2026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(DIRECIONAMENTO DE FILA), 3 Diária(s), de: 19/05/2026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(HELP DESK), 3 Diária(s), de: 19/05/2026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4 Diária(s), de: 18/05/2026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Recepcionista Mono, (TOTEM), 2 Diária(s), de: 19/05/2026 até: 20/05/2026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(TOTEM 21/05), 1 Diária(s), de: 21/05/2026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(TRIAGEM EXTERNA), 3 Diária(s), de: 19/05/2026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(API SYMPLA), 1 Diária(s), de: 15/05/2026 até: 15/05/2026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15 Totem Completo, 3 Diária(s), de: 18/05/2026 até: 20/05/2026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4 Diária(s), de: 18/05/2026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4 Diária(s), de: 18/05/2026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Totem Completo, 1 Diária(s), de: 21/05/2026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R$ 60.481,62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26/03/2026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