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PLANEJAMENTO ESTRATÉGICO MAGALÚ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22/03/2026 ATÉ: 22/03/2026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23/03/2026 ATÉ: 25/03/2026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26/03/2026 ATÉ: 28/03/2026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29/03/2026 ATÉ: 29/03/2026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BV10%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(CAEX), 3 Diária(s), de: 26/03/2026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(CONTROLE DE ACESSO),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(MONTAGEM/REALIZAÇÃO/DESMONTAGEM), 8 Diária(s), de: 22/03/2026 até: 29/03/2026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(PAVILHÃO),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15 Diária(s), de: 08/03/2026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15 Diária(s), de: 14/03/2026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23/03/2026 até: 29/03/2026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22/03/2026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7 Diária(s), de: 23/03/2026 até: 29/03/2026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23/03/2026 até: 29/03/2026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22/03/2026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20/03/2026 até: 20/03/2026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Leitor De Ccd, (CONTROLE DE ACESSO),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(CONTROLE DE ACESSO), 6 Diária(s), de: 23/02/2026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R$ 84.836,50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