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F78D" w14:textId="64E24F54" w:rsidR="00385B7F" w:rsidRDefault="00385B7F" w:rsidP="00385B7F">
      <w:pPr>
        <w:pStyle w:val="Articletitle"/>
        <w:jc w:val="center"/>
        <w:rPr>
          <w:sz w:val="36"/>
          <w:szCs w:val="32"/>
        </w:rPr>
      </w:pPr>
      <w:r>
        <w:rPr>
          <w:b w:val="0"/>
          <w:bCs/>
        </w:rPr>
        <w:t>Supplementary Information to “</w:t>
      </w:r>
      <w:r w:rsidR="00561E7A" w:rsidRPr="00561E7A">
        <w:rPr>
          <w:b w:val="0"/>
          <w:bCs/>
        </w:rPr>
        <w:t>Applying Generalized Funnel Plots to Help Design Statistical Analyses</w:t>
      </w:r>
      <w:r w:rsidR="00561E7A">
        <w:rPr>
          <w:b w:val="0"/>
          <w:bCs/>
        </w:rPr>
        <w:t xml:space="preserve">” </w:t>
      </w:r>
      <w:r w:rsidRPr="00385B7F">
        <w:rPr>
          <w:b w:val="0"/>
          <w:bCs/>
        </w:rPr>
        <w:t xml:space="preserve">by Aisbett, Drinkwater, </w:t>
      </w:r>
      <w:proofErr w:type="spellStart"/>
      <w:proofErr w:type="gramStart"/>
      <w:r w:rsidRPr="00385B7F">
        <w:rPr>
          <w:b w:val="0"/>
          <w:bCs/>
        </w:rPr>
        <w:t>Quarrie</w:t>
      </w:r>
      <w:proofErr w:type="spellEnd"/>
      <w:proofErr w:type="gramEnd"/>
      <w:r w:rsidRPr="00385B7F">
        <w:rPr>
          <w:b w:val="0"/>
          <w:bCs/>
        </w:rPr>
        <w:t xml:space="preserve"> and Woodcock</w:t>
      </w:r>
      <w:r w:rsidRPr="00385B7F">
        <w:rPr>
          <w:sz w:val="36"/>
          <w:szCs w:val="32"/>
        </w:rPr>
        <w:t xml:space="preserve"> </w:t>
      </w:r>
    </w:p>
    <w:p w14:paraId="5D3C93BC" w14:textId="77777777" w:rsidR="00385B7F" w:rsidRPr="00385B7F" w:rsidRDefault="00385B7F" w:rsidP="00385B7F">
      <w:pPr>
        <w:rPr>
          <w:sz w:val="20"/>
          <w:szCs w:val="20"/>
          <w:lang w:val="en-GB" w:eastAsia="en-GB"/>
        </w:rPr>
      </w:pPr>
    </w:p>
    <w:p w14:paraId="196660C7" w14:textId="7530DDA4" w:rsidR="0079670D" w:rsidRPr="00385B7F" w:rsidRDefault="00385B7F" w:rsidP="00385B7F">
      <w:pPr>
        <w:pStyle w:val="Articletitle"/>
        <w:jc w:val="center"/>
      </w:pPr>
      <w:r w:rsidRPr="00385B7F">
        <w:t>Online Resource 1</w:t>
      </w:r>
      <w:r>
        <w:t xml:space="preserve">: </w:t>
      </w:r>
      <w:r w:rsidR="0079670D" w:rsidRPr="00385B7F">
        <w:rPr>
          <w:szCs w:val="36"/>
        </w:rPr>
        <w:t>Error rates and sample sizes for one-sided and equivalence tests.</w:t>
      </w:r>
    </w:p>
    <w:p w14:paraId="7A836E93" w14:textId="77777777" w:rsidR="00385B7F" w:rsidRPr="00385B7F" w:rsidRDefault="00385B7F" w:rsidP="00385B7F">
      <w:pPr>
        <w:rPr>
          <w:lang w:val="en-GB" w:eastAsia="en-GB"/>
        </w:rPr>
      </w:pPr>
    </w:p>
    <w:p w14:paraId="079B8039" w14:textId="4E9A0295" w:rsidR="0079670D" w:rsidRDefault="0079670D" w:rsidP="0079670D">
      <w:pPr>
        <w:spacing w:line="360" w:lineRule="auto"/>
        <w:rPr>
          <w:iCs/>
        </w:rPr>
      </w:pPr>
      <w:r>
        <w:rPr>
          <w:iCs/>
        </w:rPr>
        <w:t xml:space="preserve">This supplement presents the calculations behind </w:t>
      </w:r>
      <w:r w:rsidR="00FF4077">
        <w:rPr>
          <w:i/>
        </w:rPr>
        <w:t>meraglim</w:t>
      </w:r>
      <w:r w:rsidRPr="000334E9">
        <w:rPr>
          <w:i/>
        </w:rPr>
        <w:t>.shinyapp</w:t>
      </w:r>
      <w:r>
        <w:rPr>
          <w:i/>
        </w:rPr>
        <w:t>s</w:t>
      </w:r>
      <w:r w:rsidRPr="000334E9">
        <w:rPr>
          <w:i/>
        </w:rPr>
        <w:t>.io/</w:t>
      </w:r>
      <w:proofErr w:type="spellStart"/>
      <w:r w:rsidR="00385B7F">
        <w:rPr>
          <w:i/>
        </w:rPr>
        <w:t>genSSize</w:t>
      </w:r>
      <w:proofErr w:type="spellEnd"/>
      <w:r>
        <w:rPr>
          <w:iCs/>
        </w:rPr>
        <w:t xml:space="preserve">. </w:t>
      </w:r>
    </w:p>
    <w:p w14:paraId="7392BA95" w14:textId="71B7F28F" w:rsidR="0079670D" w:rsidRPr="00DD54B8" w:rsidRDefault="0079670D" w:rsidP="0079670D">
      <w:pPr>
        <w:spacing w:line="360" w:lineRule="auto"/>
        <w:ind w:firstLine="426"/>
      </w:pPr>
      <w:r w:rsidRPr="00DD54B8">
        <w:rPr>
          <w:iCs/>
        </w:rPr>
        <w:t>As in standard sample size calculations, we assume an anticipated sample distribution if the hypothesis of interest is true (which in standard NHST is typically taken to have mean Cohen’s d) and an anticipated sample distribution if the alternate hypothesis is true. We will make the usual assumption that the alternate mean is the value on the boundary of a one-sided test</w:t>
      </w:r>
      <w:r>
        <w:rPr>
          <w:iCs/>
        </w:rPr>
        <w:t xml:space="preserve">, allowing </w:t>
      </w:r>
      <w:r w:rsidRPr="00DD54B8">
        <w:rPr>
          <w:iCs/>
        </w:rPr>
        <w:t xml:space="preserve">the Type I error rate to be equated with the alpha level of the test. </w:t>
      </w:r>
      <w:r w:rsidRPr="00DD54B8">
        <w:t>Also, as in standard sample size calculations, we will ignore variability in the sample variance</w:t>
      </w:r>
      <w:r w:rsidRPr="00DD54B8">
        <w:rPr>
          <w:iCs/>
        </w:rPr>
        <w:t xml:space="preserve">; </w:t>
      </w:r>
      <w:r w:rsidRPr="00DD54B8">
        <w:t xml:space="preserve">for exact computations refer to Shieh (2016). </w:t>
      </w:r>
      <w:r w:rsidR="001E17EE">
        <w:t xml:space="preserve">We initially consider t-tests, then describe how the computations are adapted for correlations.   </w:t>
      </w:r>
    </w:p>
    <w:p w14:paraId="5F0CE8F4" w14:textId="6E20D938" w:rsidR="0079670D" w:rsidRPr="00DD54B8" w:rsidRDefault="0079670D" w:rsidP="00A470A7">
      <w:pPr>
        <w:spacing w:line="360" w:lineRule="auto"/>
        <w:ind w:firstLine="426"/>
      </w:pPr>
      <w:r w:rsidRPr="009E1D14">
        <w:t>Denote</w:t>
      </w:r>
      <w:r w:rsidRPr="00DD54B8">
        <w:t xml:space="preserve"> the cumulative </w:t>
      </w:r>
      <w:r w:rsidRPr="00DD54B8">
        <w:rPr>
          <w:i/>
        </w:rPr>
        <w:t>t</w:t>
      </w:r>
      <w:r w:rsidRPr="00DD54B8">
        <w:t xml:space="preserve">-distribution with </w:t>
      </w:r>
      <w:r w:rsidRPr="00DD54B8">
        <w:rPr>
          <w:i/>
        </w:rPr>
        <w:t>k</w:t>
      </w:r>
      <w:r w:rsidRPr="00DD54B8">
        <w:t xml:space="preserve"> degrees of freedom by </w:t>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oMath>
      <w:r w:rsidRPr="00DD54B8">
        <w:t xml:space="preserve"> and use </w:t>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α</m:t>
            </m:r>
          </m:e>
        </m:d>
      </m:oMath>
      <w:r w:rsidRPr="00DD54B8">
        <w:t xml:space="preserve"> to denote the </w:t>
      </w:r>
      <m:oMath>
        <m:r>
          <w:rPr>
            <w:rFonts w:ascii="Cambria Math" w:hAnsi="Cambria Math"/>
          </w:rPr>
          <m:t>100</m:t>
        </m:r>
        <m:d>
          <m:dPr>
            <m:ctrlPr>
              <w:rPr>
                <w:rFonts w:ascii="Cambria Math" w:hAnsi="Cambria Math"/>
              </w:rPr>
            </m:ctrlPr>
          </m:dPr>
          <m:e>
            <m:r>
              <w:rPr>
                <w:rFonts w:ascii="Cambria Math" w:hAnsi="Cambria Math"/>
              </w:rPr>
              <m:t>1-α</m:t>
            </m:r>
          </m:e>
        </m:d>
        <m:r>
          <w:rPr>
            <w:rFonts w:ascii="Cambria Math" w:hAnsi="Cambria Math"/>
          </w:rPr>
          <m:t>%</m:t>
        </m:r>
      </m:oMath>
      <w:r w:rsidRPr="00DD54B8">
        <w:t xml:space="preserve"> percentile (so that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α</m:t>
                </m:r>
              </m:e>
            </m:d>
          </m:e>
        </m:d>
        <m:r>
          <w:rPr>
            <w:rFonts w:ascii="Cambria Math" w:hAnsi="Cambria Math"/>
          </w:rPr>
          <m:t>=1-α</m:t>
        </m:r>
      </m:oMath>
      <w:r w:rsidRPr="00DD54B8">
        <w:t xml:space="preserve">). Denote the mean of the anticipated sample distribution if the hypothesis is true by </w:t>
      </w:r>
      <m:oMath>
        <m:r>
          <w:rPr>
            <w:rFonts w:ascii="Cambria Math" w:hAnsi="Cambria Math"/>
          </w:rPr>
          <m:t>m</m:t>
        </m:r>
      </m:oMath>
      <w:r w:rsidRPr="00DD54B8">
        <w:t xml:space="preserve">, the alpha level of a one-sided tests by </w:t>
      </w:r>
      <w:r w:rsidRPr="00DD54B8">
        <w:rPr>
          <w:i/>
        </w:rPr>
        <w:t>α</w:t>
      </w:r>
      <w:r w:rsidRPr="00DD54B8">
        <w:t xml:space="preserve"> and the standard error of the mean effect size by SE. Finally, suppose that effects less than </w:t>
      </w:r>
      <w:r w:rsidR="00CD031A">
        <w:t xml:space="preserve"> </w:t>
      </w:r>
      <w:r w:rsidRPr="00DD54B8">
        <w:t>-</w:t>
      </w:r>
      <w:r w:rsidRPr="00DD54B8">
        <w:rPr>
          <w:i/>
        </w:rPr>
        <w:t>Δ</w:t>
      </w:r>
      <w:r w:rsidRPr="00DD54B8">
        <w:t xml:space="preserve"> and greater than </w:t>
      </w:r>
      <w:r w:rsidRPr="00DD54B8">
        <w:rPr>
          <w:i/>
        </w:rPr>
        <w:t>Δ</w:t>
      </w:r>
      <w:r w:rsidRPr="00DD54B8">
        <w:t xml:space="preserve"> are practically meaningful</w:t>
      </w:r>
      <w:r>
        <w:t>.</w:t>
      </w:r>
    </w:p>
    <w:p w14:paraId="0D51B82D" w14:textId="77777777" w:rsidR="0079670D" w:rsidRPr="00DD54B8" w:rsidRDefault="0079670D" w:rsidP="00A470A7">
      <w:pPr>
        <w:spacing w:line="360" w:lineRule="auto"/>
        <w:ind w:firstLine="426"/>
      </w:pPr>
      <w:r w:rsidRPr="00DD54B8">
        <w:t xml:space="preserve">Now suppose that we are either testing for effects less than </w:t>
      </w:r>
      <m:oMath>
        <m:r>
          <w:rPr>
            <w:rFonts w:ascii="Cambria Math" w:hAnsi="Cambria Math"/>
          </w:rPr>
          <m:t>Δ,</m:t>
        </m:r>
      </m:oMath>
      <w:r w:rsidRPr="00DD54B8">
        <w:t xml:space="preserve"> so that </w:t>
      </w:r>
      <m:oMath>
        <m:r>
          <w:rPr>
            <w:rFonts w:ascii="Cambria Math" w:hAnsi="Cambria Math"/>
          </w:rPr>
          <m:t>Δ≤m</m:t>
        </m:r>
      </m:oMath>
      <w:r w:rsidRPr="00DD54B8">
        <w:t xml:space="preserve">, or are testing for effects larger than </w:t>
      </w:r>
      <m:oMath>
        <m:r>
          <w:rPr>
            <w:rFonts w:ascii="Cambria Math" w:hAnsi="Cambria Math"/>
          </w:rPr>
          <m:t>Δ,</m:t>
        </m:r>
      </m:oMath>
      <w:r w:rsidRPr="00DD54B8">
        <w:t xml:space="preserve"> so that </w:t>
      </w:r>
      <m:oMath>
        <m:r>
          <w:rPr>
            <w:rFonts w:ascii="Cambria Math" w:hAnsi="Cambria Math"/>
          </w:rPr>
          <m:t>m≤Δ</m:t>
        </m:r>
      </m:oMath>
      <w:r w:rsidRPr="00DD54B8">
        <w:t xml:space="preserve"> . In both cases, the Type II error rate </w:t>
      </w:r>
      <m:oMath>
        <m:r>
          <w:rPr>
            <w:rFonts w:ascii="Cambria Math"/>
          </w:rPr>
          <m:t>β</m:t>
        </m:r>
      </m:oMath>
      <w:r w:rsidRPr="00DD54B8">
        <w:t xml:space="preserve">  is </w:t>
      </w:r>
    </w:p>
    <w:p w14:paraId="13136088" w14:textId="7B031CF4" w:rsidR="0079670D" w:rsidRPr="00DD54B8" w:rsidRDefault="0079670D" w:rsidP="0079670D">
      <w:pPr>
        <w:spacing w:line="360" w:lineRule="auto"/>
        <w:jc w:val="right"/>
        <w:rPr>
          <w:iCs/>
        </w:rPr>
      </w:pPr>
      <w:r w:rsidRPr="00DD54B8">
        <w:rPr>
          <w:iCs/>
        </w:rPr>
        <w:t xml:space="preserve"> </w:t>
      </w:r>
      <m:oMath>
        <m:r>
          <w:rPr>
            <w:rFonts w:ascii="Cambria Math"/>
          </w:rPr>
          <m:t>β=1</m:t>
        </m:r>
        <m:r>
          <w:rPr>
            <w:rFonts w:ascii="Cambria Math"/>
          </w:rPr>
          <m:t>-</m:t>
        </m:r>
        <m:sSub>
          <m:sSubPr>
            <m:ctrlPr>
              <w:rPr>
                <w:rFonts w:ascii="Cambria Math" w:hAnsi="Cambria Math"/>
                <w:i/>
                <w:iCs/>
              </w:rPr>
            </m:ctrlPr>
          </m:sSubPr>
          <m:e>
            <m:r>
              <w:rPr>
                <w:rFonts w:ascii="Cambria Math"/>
              </w:rPr>
              <m:t>T</m:t>
            </m:r>
          </m:e>
          <m:sub>
            <m:r>
              <w:rPr>
                <w:rFonts w:ascii="Cambria Math"/>
              </w:rPr>
              <m:t>k</m:t>
            </m:r>
          </m:sub>
        </m:sSub>
        <m:d>
          <m:dPr>
            <m:ctrlPr>
              <w:rPr>
                <w:rFonts w:ascii="Cambria Math" w:hAnsi="Cambria Math"/>
                <w:i/>
                <w:iCs/>
              </w:rPr>
            </m:ctrlPr>
          </m:dPr>
          <m:e>
            <m:f>
              <m:fPr>
                <m:ctrlPr>
                  <w:rPr>
                    <w:rFonts w:ascii="Cambria Math" w:hAnsi="Cambria Math"/>
                    <w:i/>
                    <w:iCs/>
                  </w:rPr>
                </m:ctrlPr>
              </m:fPr>
              <m:num>
                <m:d>
                  <m:dPr>
                    <m:begChr m:val="|"/>
                    <m:endChr m:val="|"/>
                    <m:ctrlPr>
                      <w:rPr>
                        <w:rFonts w:ascii="Cambria Math" w:hAnsi="Cambria Math"/>
                        <w:i/>
                        <w:iCs/>
                      </w:rPr>
                    </m:ctrlPr>
                  </m:dPr>
                  <m:e>
                    <m:r>
                      <w:rPr>
                        <w:rFonts w:ascii="Cambria Math"/>
                      </w:rPr>
                      <m:t>Δ</m:t>
                    </m:r>
                    <m:r>
                      <w:rPr>
                        <w:rFonts w:ascii="Cambria Math"/>
                      </w:rPr>
                      <m:t>-</m:t>
                    </m:r>
                    <m:r>
                      <w:rPr>
                        <w:rFonts w:ascii="Cambria Math"/>
                      </w:rPr>
                      <m:t>m</m:t>
                    </m:r>
                  </m:e>
                </m:d>
              </m:num>
              <m:den>
                <m:r>
                  <m:rPr>
                    <m:sty m:val="p"/>
                  </m:rPr>
                  <w:rPr>
                    <w:rFonts w:ascii="Cambria Math" w:hAnsi="Cambria Math"/>
                  </w:rPr>
                  <m:t>SE</m:t>
                </m:r>
              </m:den>
            </m:f>
            <m:r>
              <w:rPr>
                <w:rFonts w:ascii="Cambria Math"/>
              </w:rPr>
              <m:t>-</m:t>
            </m:r>
            <m:sSub>
              <m:sSubPr>
                <m:ctrlPr>
                  <w:rPr>
                    <w:rFonts w:ascii="Cambria Math" w:hAnsi="Cambria Math"/>
                    <w:i/>
                    <w:iCs/>
                  </w:rPr>
                </m:ctrlPr>
              </m:sSubPr>
              <m:e>
                <m:r>
                  <w:rPr>
                    <w:rFonts w:ascii="Cambria Math"/>
                  </w:rPr>
                  <m:t>t</m:t>
                </m:r>
              </m:e>
              <m:sub>
                <m:r>
                  <w:rPr>
                    <w:rFonts w:ascii="Cambria Math"/>
                  </w:rPr>
                  <m:t>k</m:t>
                </m:r>
              </m:sub>
            </m:sSub>
            <m:d>
              <m:dPr>
                <m:ctrlPr>
                  <w:rPr>
                    <w:rFonts w:ascii="Cambria Math" w:hAnsi="Cambria Math"/>
                    <w:i/>
                    <w:iCs/>
                  </w:rPr>
                </m:ctrlPr>
              </m:dPr>
              <m:e>
                <m:r>
                  <w:rPr>
                    <w:rFonts w:ascii="Cambria Math"/>
                  </w:rPr>
                  <m:t>α</m:t>
                </m:r>
              </m:e>
            </m:d>
          </m:e>
        </m:d>
      </m:oMath>
      <w:r w:rsidRPr="00DD54B8">
        <w:rPr>
          <w:iCs/>
        </w:rPr>
        <w:t xml:space="preserve">,       </w:t>
      </w:r>
      <w:r>
        <w:rPr>
          <w:iCs/>
        </w:rPr>
        <w:t xml:space="preserve">           </w:t>
      </w:r>
      <w:r w:rsidRPr="00DD54B8">
        <w:rPr>
          <w:iCs/>
        </w:rPr>
        <w:t xml:space="preserve">                                  </w:t>
      </w:r>
      <w:bookmarkStart w:id="0" w:name="onesidedType2"/>
      <w:r w:rsidRPr="00DD54B8">
        <w:t>(</w:t>
      </w:r>
      <w:r w:rsidRPr="00DD54B8">
        <w:fldChar w:fldCharType="begin"/>
      </w:r>
      <w:r w:rsidRPr="00DD54B8">
        <w:instrText xml:space="preserve"> AUTONUMLGL  \e </w:instrText>
      </w:r>
      <w:r w:rsidRPr="00DD54B8">
        <w:fldChar w:fldCharType="end"/>
      </w:r>
      <w:r w:rsidRPr="00DD54B8">
        <w:t>)</w:t>
      </w:r>
      <w:bookmarkEnd w:id="0"/>
    </w:p>
    <w:p w14:paraId="696AEE23" w14:textId="77777777" w:rsidR="0079670D" w:rsidRPr="00DD54B8" w:rsidRDefault="0079670D" w:rsidP="0079670D">
      <w:pPr>
        <w:spacing w:line="360" w:lineRule="auto"/>
      </w:pPr>
      <w:r w:rsidRPr="00DD54B8">
        <w:rPr>
          <w:iCs/>
        </w:rPr>
        <w:t>so that</w:t>
      </w:r>
      <m:oMath>
        <m:r>
          <w:rPr>
            <w:rFonts w:ascii="Cambria Math" w:hAnsi="Cambria Math"/>
          </w:rPr>
          <m:t xml:space="preserve"> β≤1-α</m:t>
        </m:r>
      </m:oMath>
      <w:r w:rsidRPr="00DD54B8">
        <w:rPr>
          <w:iCs/>
        </w:rPr>
        <w:t>, with equality only if</w:t>
      </w:r>
      <m:oMath>
        <m:r>
          <w:rPr>
            <w:rFonts w:ascii="Cambria Math" w:hAnsi="Cambria Math"/>
          </w:rPr>
          <m:t xml:space="preserve"> Δ=m</m:t>
        </m:r>
      </m:oMath>
      <w:r w:rsidRPr="00DD54B8">
        <w:t>. If</w:t>
      </w:r>
      <m:oMath>
        <m:r>
          <w:rPr>
            <w:rFonts w:ascii="Cambria Math" w:hAnsi="Cambria Math"/>
          </w:rPr>
          <m:t xml:space="preserve"> Δ≠m</m:t>
        </m:r>
      </m:oMath>
      <w:r w:rsidRPr="00DD54B8">
        <w:t xml:space="preserve"> we rearrange (1) to get</w:t>
      </w:r>
    </w:p>
    <w:p w14:paraId="463E9F6A" w14:textId="39E39A0B" w:rsidR="0079670D" w:rsidRPr="00DD54B8" w:rsidRDefault="0079670D" w:rsidP="0079670D">
      <w:pPr>
        <w:spacing w:line="360" w:lineRule="auto"/>
        <w:jc w:val="right"/>
      </w:pPr>
      <m:oMath>
        <m:r>
          <m:rPr>
            <m:sty m:val="p"/>
          </m:rPr>
          <w:rPr>
            <w:rFonts w:ascii="Cambria Math" w:hAnsi="Cambria Math"/>
          </w:rPr>
          <m:t>SE</m:t>
        </m:r>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Δ-m</m:t>
                </m:r>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(β)+</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(α)</m:t>
                </m:r>
              </m:den>
            </m:f>
          </m:e>
        </m:d>
      </m:oMath>
      <w:r w:rsidRPr="00DD54B8">
        <w:t xml:space="preserve">.                       </w:t>
      </w:r>
      <w:r>
        <w:t xml:space="preserve">             </w:t>
      </w:r>
      <w:r w:rsidRPr="00DD54B8">
        <w:t xml:space="preserve">                        </w:t>
      </w:r>
      <w:bookmarkStart w:id="1" w:name="onesidedN2"/>
      <w:r w:rsidRPr="00DD54B8">
        <w:t xml:space="preserve"> (</w:t>
      </w:r>
      <w:r w:rsidRPr="00DD54B8">
        <w:fldChar w:fldCharType="begin"/>
      </w:r>
      <w:r w:rsidRPr="00DD54B8">
        <w:instrText xml:space="preserve"> AUTONUMLGL  \e </w:instrText>
      </w:r>
      <w:r w:rsidRPr="00DD54B8">
        <w:fldChar w:fldCharType="end"/>
      </w:r>
      <w:r w:rsidRPr="00DD54B8">
        <w:t>)</w:t>
      </w:r>
      <w:bookmarkEnd w:id="1"/>
    </w:p>
    <w:p w14:paraId="6B767228" w14:textId="51B98512" w:rsidR="0079670D" w:rsidRDefault="0079670D" w:rsidP="00A470A7">
      <w:pPr>
        <w:spacing w:line="360" w:lineRule="auto"/>
      </w:pPr>
      <w:r w:rsidRPr="00DD54B8">
        <w:t xml:space="preserve">This is the standard expression </w:t>
      </w:r>
      <w:r>
        <w:t xml:space="preserve">used in NHST sample size calculations </w:t>
      </w:r>
      <w:r w:rsidRPr="00DD54B8">
        <w:t xml:space="preserve">except the effect magnitude </w:t>
      </w:r>
      <m:oMath>
        <m:r>
          <w:rPr>
            <w:rFonts w:ascii="Cambria Math" w:hAnsi="Cambria Math"/>
          </w:rPr>
          <m:t>m</m:t>
        </m:r>
      </m:oMath>
      <w:r w:rsidRPr="00DD54B8">
        <w:t xml:space="preserve"> has been replaced by the difference magnitude </w:t>
      </w:r>
      <m:oMath>
        <m:d>
          <m:dPr>
            <m:begChr m:val="|"/>
            <m:endChr m:val="|"/>
            <m:ctrlPr>
              <w:rPr>
                <w:rFonts w:ascii="Cambria Math" w:hAnsi="Cambria Math"/>
                <w:i/>
              </w:rPr>
            </m:ctrlPr>
          </m:dPr>
          <m:e>
            <m:r>
              <w:rPr>
                <w:rFonts w:ascii="Cambria Math" w:hAnsi="Cambria Math"/>
              </w:rPr>
              <m:t>Δ-m</m:t>
            </m:r>
          </m:e>
        </m:d>
      </m:oMath>
      <w:r w:rsidRPr="00DD54B8">
        <w:t xml:space="preserve">. The relationship between sample size and </w:t>
      </w:r>
      <w:r w:rsidR="00DA35D9">
        <w:t xml:space="preserve">both </w:t>
      </w:r>
      <w:r w:rsidRPr="00DD54B8">
        <w:t>SE (assuming fixed variance)</w:t>
      </w:r>
      <w:r w:rsidR="00DA35D9">
        <w:t xml:space="preserve"> and the degrees of freedom </w:t>
      </w:r>
      <w:r w:rsidR="00DA35D9">
        <w:rPr>
          <w:i/>
          <w:iCs/>
        </w:rPr>
        <w:t>k</w:t>
      </w:r>
      <w:r w:rsidRPr="00DD54B8">
        <w:t xml:space="preserve"> </w:t>
      </w:r>
      <w:r>
        <w:t xml:space="preserve">means that sample size appears on both sides of the inequality. </w:t>
      </w:r>
      <w:r w:rsidR="00DA35D9">
        <w:t>A</w:t>
      </w:r>
      <w:r>
        <w:t xml:space="preserve"> recursive approach must be taken to obtain an exact solution, or the </w:t>
      </w:r>
      <w:r>
        <w:rPr>
          <w:i/>
          <w:iCs/>
        </w:rPr>
        <w:t>t-</w:t>
      </w:r>
      <w:r w:rsidRPr="00EE0197">
        <w:t xml:space="preserve">distribution </w:t>
      </w:r>
      <w:r>
        <w:t>may be</w:t>
      </w:r>
      <w:r w:rsidRPr="00EE0197">
        <w:t xml:space="preserve"> approximated by a normal distribution.</w:t>
      </w:r>
      <w:r>
        <w:t xml:space="preserve"> Our R implementation instead uses a parameter (set by default to 38) to compute the </w:t>
      </w:r>
      <w:r w:rsidRPr="000334E9">
        <w:rPr>
          <w:i/>
          <w:iCs/>
        </w:rPr>
        <w:t>t</w:t>
      </w:r>
      <w:r>
        <w:rPr>
          <w:i/>
          <w:iCs/>
        </w:rPr>
        <w:t>-</w:t>
      </w:r>
      <w:r>
        <w:t xml:space="preserve">tests. When users have selected a test and an </w:t>
      </w:r>
      <w:r>
        <w:lastRenderedPageBreak/>
        <w:t>approximate sample size this parameter should be adjusted to gain a more accurate estimate. However, in practice this rarely changes estimates much and in any case sample size calculations involve many assumptions and approximations.</w:t>
      </w:r>
    </w:p>
    <w:p w14:paraId="3A0661C4" w14:textId="519096B8" w:rsidR="0079670D" w:rsidRPr="007C7793" w:rsidRDefault="0079670D" w:rsidP="007C7793">
      <w:pPr>
        <w:spacing w:line="360" w:lineRule="auto"/>
        <w:ind w:firstLine="720"/>
        <w:rPr>
          <w:rFonts w:eastAsiaTheme="minorEastAsia"/>
        </w:rPr>
      </w:pPr>
      <w:r w:rsidRPr="00DD54B8">
        <w:t xml:space="preserve">In the case of </w:t>
      </w:r>
      <w:r w:rsidR="007C7793">
        <w:t>a two-</w:t>
      </w:r>
      <w:r w:rsidRPr="00DD54B8">
        <w:t xml:space="preserve">group design with </w:t>
      </w:r>
      <w:r w:rsidR="008453BB" w:rsidRPr="00DD54B8">
        <w:t xml:space="preserve">pooled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008453BB">
        <w:t>and group s</w:t>
      </w:r>
      <w:r w:rsidR="00FF4077">
        <w:t xml:space="preserve">izes </w:t>
      </w:r>
      <m:oMath>
        <m:r>
          <w:rPr>
            <w:rFonts w:ascii="Cambria Math" w:hAnsi="Cambria Math"/>
          </w:rPr>
          <m:t>rn</m:t>
        </m:r>
      </m:oMath>
      <w:r w:rsidRPr="00DD54B8">
        <w:t xml:space="preserve"> </w:t>
      </w:r>
      <w:r w:rsidR="00FF4077">
        <w:t xml:space="preserve">and </w:t>
      </w:r>
      <m:oMath>
        <m:r>
          <w:rPr>
            <w:rFonts w:ascii="Cambria Math" w:hAnsi="Cambria Math"/>
          </w:rPr>
          <m:t>(1-r)n</m:t>
        </m:r>
      </m:oMath>
      <w:r w:rsidR="00FF4077">
        <w:t xml:space="preserve"> </w:t>
      </w:r>
      <w:r w:rsidR="008453BB">
        <w:t xml:space="preserve">for </w:t>
      </w:r>
      <m:oMath>
        <m:r>
          <w:rPr>
            <w:rFonts w:ascii="Cambria Math" w:hAnsi="Cambria Math"/>
          </w:rPr>
          <m:t>0&lt;r&lt;1</m:t>
        </m:r>
      </m:oMath>
      <w:r w:rsidRPr="00DD54B8">
        <w:t>,</w:t>
      </w:r>
      <w:r w:rsidR="007C7793">
        <w:t xml:space="preserve"> it is well known that</w:t>
      </w:r>
      <w:r w:rsidRPr="00DD54B8">
        <w:t xml:space="preserve"> </w:t>
      </w:r>
      <m:oMath>
        <m:r>
          <m:rPr>
            <m:sty m:val="p"/>
          </m:rPr>
          <w:rPr>
            <w:rFonts w:ascii="Cambria Math" w:hAnsi="Cambria Math"/>
          </w:rPr>
          <m:t>SE</m:t>
        </m:r>
        <m:r>
          <w:rPr>
            <w:rFonts w:ascii="Cambria Math" w:hAnsi="Cambria Math"/>
          </w:rPr>
          <m:t>=</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rn</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1-r</m:t>
                    </m:r>
                  </m:e>
                </m:d>
                <m:r>
                  <w:rPr>
                    <w:rFonts w:ascii="Cambria Math" w:hAnsi="Cambria Math"/>
                  </w:rPr>
                  <m:t>n</m:t>
                </m:r>
              </m:den>
            </m:f>
          </m:e>
        </m:rad>
        <m:r>
          <w:rPr>
            <w:rFonts w:ascii="Cambria Math" w:hAnsi="Cambria Math"/>
          </w:rPr>
          <m:t>=</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1-r</m:t>
                    </m:r>
                  </m:e>
                </m:d>
                <m:r>
                  <w:rPr>
                    <w:rFonts w:ascii="Cambria Math" w:hAnsi="Cambria Math"/>
                  </w:rPr>
                  <m:t>n</m:t>
                </m:r>
              </m:den>
            </m:f>
          </m:e>
        </m:rad>
        <m:r>
          <w:rPr>
            <w:rFonts w:ascii="Cambria Math" w:hAnsi="Cambria Math"/>
          </w:rPr>
          <m:t xml:space="preserve"> </m:t>
        </m:r>
      </m:oMath>
      <w:r w:rsidR="00DE5B9B">
        <w:t xml:space="preserve">and </w:t>
      </w:r>
      <m:oMath>
        <m:r>
          <w:rPr>
            <w:rFonts w:ascii="Cambria Math" w:hAnsi="Cambria Math"/>
          </w:rPr>
          <m:t>k=n-2.</m:t>
        </m:r>
      </m:oMath>
      <w:r>
        <w:t xml:space="preserve"> Substituting into </w:t>
      </w:r>
      <w:r w:rsidRPr="00DD54B8">
        <w:t xml:space="preserve">(2) </w:t>
      </w:r>
      <w:r>
        <w:t>gives the</w:t>
      </w:r>
      <w:r w:rsidRPr="00DD54B8">
        <w:t xml:space="preserve"> </w:t>
      </w:r>
      <w:r w:rsidR="008453BB">
        <w:t xml:space="preserve">total </w:t>
      </w:r>
      <w:r w:rsidRPr="00DD54B8">
        <w:t xml:space="preserve">sample size </w:t>
      </w:r>
      <w:r w:rsidR="007C7793">
        <w:rPr>
          <w:i/>
          <w:iCs/>
        </w:rPr>
        <w:t xml:space="preserve">n </w:t>
      </w:r>
      <w:r>
        <w:t>to achieve</w:t>
      </w:r>
      <w:r w:rsidRPr="00DD54B8">
        <w:t xml:space="preserve"> required power level</w:t>
      </w:r>
      <w:r w:rsidR="007C7793">
        <w:t xml:space="preserve">,  </w:t>
      </w:r>
      <m:oMath>
        <m:r>
          <w:rPr>
            <w:rFonts w:ascii="Cambria Math" w:hAnsi="Cambria Math"/>
          </w:rPr>
          <m:t>n≥</m:t>
        </m:r>
        <m:sSup>
          <m:sSupPr>
            <m:ctrlPr>
              <w:rPr>
                <w:rFonts w:ascii="Cambria Math" w:hAnsi="Cambria Math"/>
                <w:i/>
              </w:rPr>
            </m:ctrlPr>
          </m:sSupPr>
          <m:e>
            <m:r>
              <w:rPr>
                <w:rFonts w:ascii="Cambria Math" w:hAnsi="Cambria Math"/>
              </w:rPr>
              <m:t>r(1-r)</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n-2</m:t>
                        </m:r>
                      </m:sub>
                    </m:sSub>
                    <m:r>
                      <w:rPr>
                        <w:rFonts w:ascii="Cambria Math" w:hAnsi="Cambria Math"/>
                      </w:rPr>
                      <m:t>(β)+</m:t>
                    </m:r>
                    <m:sSub>
                      <m:sSubPr>
                        <m:ctrlPr>
                          <w:rPr>
                            <w:rFonts w:ascii="Cambria Math" w:hAnsi="Cambria Math"/>
                          </w:rPr>
                        </m:ctrlPr>
                      </m:sSubPr>
                      <m:e>
                        <m:r>
                          <w:rPr>
                            <w:rFonts w:ascii="Cambria Math" w:hAnsi="Cambria Math"/>
                          </w:rPr>
                          <m:t>t</m:t>
                        </m:r>
                      </m:e>
                      <m:sub>
                        <m:r>
                          <w:rPr>
                            <w:rFonts w:ascii="Cambria Math" w:hAnsi="Cambria Math"/>
                          </w:rPr>
                          <m:t>n-2</m:t>
                        </m:r>
                      </m:sub>
                    </m:sSub>
                    <m:r>
                      <w:rPr>
                        <w:rFonts w:ascii="Cambria Math" w:hAnsi="Cambria Math"/>
                      </w:rPr>
                      <m:t>(α)</m:t>
                    </m:r>
                  </m:num>
                  <m:den>
                    <m:r>
                      <w:rPr>
                        <w:rFonts w:ascii="Cambria Math" w:hAnsi="Cambria Math"/>
                      </w:rPr>
                      <m:t>Δ-m</m:t>
                    </m:r>
                  </m:den>
                </m:f>
              </m:e>
            </m:d>
          </m:e>
          <m:sup>
            <m:r>
              <w:rPr>
                <w:rFonts w:ascii="Cambria Math" w:hAnsi="Cambria Math"/>
              </w:rPr>
              <m:t>2</m:t>
            </m:r>
          </m:sup>
        </m:sSup>
      </m:oMath>
      <w:r w:rsidRPr="00DD54B8">
        <w:t xml:space="preserve">.  </w:t>
      </w:r>
      <w:r w:rsidR="009E1D14">
        <w:t xml:space="preserve">In a one-group design, </w:t>
      </w:r>
      <m:oMath>
        <m:r>
          <m:rPr>
            <m:sty m:val="p"/>
          </m:rPr>
          <w:rPr>
            <w:rFonts w:ascii="Cambria Math" w:hAnsi="Cambria Math"/>
          </w:rPr>
          <m:t>SE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oMath>
      <w:r w:rsidR="009E1D14">
        <w:t xml:space="preserve"> so </w:t>
      </w:r>
      <w:r w:rsidR="009E1D14" w:rsidRPr="00DD54B8">
        <w:t xml:space="preserve">(2) </w:t>
      </w:r>
      <w:r w:rsidR="009E1D14">
        <w:t xml:space="preserve">gives as required sample size </w:t>
      </w:r>
      <m:oMath>
        <m:r>
          <w:rPr>
            <w:rFonts w:ascii="Cambria Math" w:hAnsi="Cambria Math"/>
          </w:rPr>
          <m:t>n≥</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(β)+</m:t>
                    </m:r>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(α)</m:t>
                    </m:r>
                  </m:num>
                  <m:den>
                    <m:r>
                      <w:rPr>
                        <w:rFonts w:ascii="Cambria Math" w:hAnsi="Cambria Math"/>
                      </w:rPr>
                      <m:t>Δ-m</m:t>
                    </m:r>
                  </m:den>
                </m:f>
              </m:e>
            </m:d>
          </m:e>
          <m:sup>
            <m:r>
              <w:rPr>
                <w:rFonts w:ascii="Cambria Math" w:hAnsi="Cambria Math"/>
              </w:rPr>
              <m:t>2</m:t>
            </m:r>
          </m:sup>
        </m:sSup>
      </m:oMath>
      <w:r w:rsidR="009E1D14" w:rsidRPr="00DD54B8">
        <w:t xml:space="preserve">.  </w:t>
      </w:r>
    </w:p>
    <w:p w14:paraId="21E17226" w14:textId="77777777" w:rsidR="0079670D" w:rsidRDefault="0079670D" w:rsidP="0079670D">
      <w:pPr>
        <w:spacing w:line="360" w:lineRule="auto"/>
      </w:pPr>
      <w:r w:rsidRPr="00DD54B8">
        <w:t xml:space="preserve"> </w:t>
      </w:r>
    </w:p>
    <w:p w14:paraId="60E4DC64" w14:textId="67749281" w:rsidR="0079670D" w:rsidRPr="00DD54B8" w:rsidRDefault="0079670D" w:rsidP="0079670D">
      <w:pPr>
        <w:spacing w:line="360" w:lineRule="auto"/>
        <w:rPr>
          <w:iCs/>
        </w:rPr>
      </w:pPr>
      <w:r w:rsidRPr="00DD54B8">
        <w:rPr>
          <w:iCs/>
        </w:rPr>
        <w:t xml:space="preserve">Equivalence involves two tests: that effects are either greater than </w:t>
      </w:r>
      <w:r w:rsidRPr="005405D0">
        <w:rPr>
          <w:i/>
        </w:rPr>
        <w:t>Δ</w:t>
      </w:r>
      <w:r w:rsidRPr="00DD54B8">
        <w:rPr>
          <w:iCs/>
        </w:rPr>
        <w:t xml:space="preserve">, or less than </w:t>
      </w:r>
      <m:oMath>
        <m:r>
          <w:rPr>
            <w:rFonts w:ascii="Cambria Math" w:hAnsi="Cambria Math"/>
          </w:rPr>
          <m:t>-Δ</m:t>
        </m:r>
      </m:oMath>
      <w:r w:rsidRPr="00DD54B8">
        <w:rPr>
          <w:iCs/>
        </w:rPr>
        <w:t xml:space="preserve">. The anticipated effect size </w:t>
      </w:r>
      <w:r w:rsidRPr="00DD54B8">
        <w:rPr>
          <w:i/>
          <w:iCs/>
        </w:rPr>
        <w:t>m</w:t>
      </w:r>
      <w:r w:rsidRPr="00DD54B8">
        <w:t xml:space="preserve"> </w:t>
      </w:r>
      <w:r w:rsidRPr="00DD54B8">
        <w:rPr>
          <w:iCs/>
        </w:rPr>
        <w:t>for the hypothesis of interest must satisfy</w:t>
      </w:r>
      <m:oMath>
        <m:r>
          <w:rPr>
            <w:rFonts w:ascii="Cambria Math" w:hAnsi="Cambria Math"/>
          </w:rPr>
          <m:t xml:space="preserve"> </m:t>
        </m:r>
        <m:r>
          <m:rPr>
            <m:sty m:val="p"/>
          </m:rPr>
          <w:rPr>
            <w:rFonts w:ascii="Cambria Math" w:hAnsi="Cambria Math"/>
          </w:rPr>
          <m:t>-</m:t>
        </m:r>
        <m:r>
          <w:rPr>
            <w:rFonts w:ascii="Cambria Math" w:hAnsi="Cambria Math"/>
          </w:rPr>
          <m:t>Δ≤m≤Δ</m:t>
        </m:r>
      </m:oMath>
      <w:r w:rsidRPr="00DD54B8">
        <w:rPr>
          <w:iCs/>
        </w:rPr>
        <w:t>.  The Type I error rate is</w:t>
      </w:r>
      <w:r>
        <w:rPr>
          <w:iCs/>
        </w:rPr>
        <w:t xml:space="preserve"> well-known to be</w:t>
      </w:r>
      <w:r w:rsidRPr="00DD54B8">
        <w:rPr>
          <w:iCs/>
        </w:rPr>
        <w:t xml:space="preserve"> α if both tests are at that level</w:t>
      </w:r>
      <w:r>
        <w:rPr>
          <w:iCs/>
        </w:rPr>
        <w:t xml:space="preserve">. </w:t>
      </w:r>
      <w:r w:rsidRPr="00DD54B8">
        <w:t xml:space="preserve">The Type II error rate is the sum of the errors from the two tests, since the tails of the sample distribution can extend into meaningful regions in both the positive and negative directions. From </w:t>
      </w:r>
      <w:r w:rsidRPr="00DD54B8">
        <w:fldChar w:fldCharType="begin"/>
      </w:r>
      <w:r w:rsidRPr="00DD54B8">
        <w:instrText xml:space="preserve"> REF onesidedType2 \h </w:instrText>
      </w:r>
      <w:r>
        <w:instrText xml:space="preserve"> \* MERGEFORMAT </w:instrText>
      </w:r>
      <w:r w:rsidRPr="00DD54B8">
        <w:fldChar w:fldCharType="separate"/>
      </w:r>
      <w:r w:rsidR="006F0356" w:rsidRPr="00DD54B8">
        <w:t>(</w:t>
      </w:r>
      <w:r w:rsidR="006F0356">
        <w:t>1</w:t>
      </w:r>
      <w:r w:rsidR="006F0356" w:rsidRPr="00DD54B8">
        <w:t>)</w:t>
      </w:r>
      <w:r w:rsidRPr="00DD54B8">
        <w:fldChar w:fldCharType="end"/>
      </w:r>
      <w:r w:rsidRPr="00DD54B8">
        <w:t xml:space="preserve"> the error rate is therefore</w:t>
      </w:r>
    </w:p>
    <w:p w14:paraId="46E7D832" w14:textId="66E89E6C" w:rsidR="0079670D" w:rsidRPr="00DD54B8" w:rsidRDefault="0079670D" w:rsidP="0079670D">
      <w:pPr>
        <w:spacing w:line="360" w:lineRule="auto"/>
        <w:jc w:val="right"/>
        <w:rPr>
          <w:iCs/>
        </w:rPr>
      </w:pPr>
      <m:oMath>
        <m:r>
          <w:rPr>
            <w:rFonts w:ascii="Cambria Math" w:hAnsi="Cambria Math"/>
          </w:rPr>
          <m:t>β=</m:t>
        </m:r>
        <m:d>
          <m:dPr>
            <m:ctrlPr>
              <w:rPr>
                <w:rFonts w:ascii="Cambria Math" w:hAnsi="Cambria Math"/>
                <w:iCs/>
              </w:rPr>
            </m:ctrlPr>
          </m:dPr>
          <m:e>
            <m:r>
              <w:rPr>
                <w:rFonts w:ascii="Cambria Math" w:hAnsi="Cambria Math"/>
              </w:rPr>
              <m:t>1-</m:t>
            </m:r>
            <m:sSub>
              <m:sSubPr>
                <m:ctrlPr>
                  <w:rPr>
                    <w:rFonts w:ascii="Cambria Math" w:hAnsi="Cambria Math"/>
                    <w:iCs/>
                  </w:rPr>
                </m:ctrlPr>
              </m:sSubPr>
              <m:e>
                <m:r>
                  <w:rPr>
                    <w:rFonts w:ascii="Cambria Math" w:hAnsi="Cambria Math"/>
                  </w:rPr>
                  <m:t>T</m:t>
                </m:r>
              </m:e>
              <m:sub>
                <m:r>
                  <w:rPr>
                    <w:rFonts w:ascii="Cambria Math" w:hAnsi="Cambria Math"/>
                  </w:rPr>
                  <m:t>k</m:t>
                </m:r>
              </m:sub>
            </m:sSub>
            <m:d>
              <m:dPr>
                <m:ctrlPr>
                  <w:rPr>
                    <w:rFonts w:ascii="Cambria Math" w:hAnsi="Cambria Math"/>
                    <w:iCs/>
                  </w:rPr>
                </m:ctrlPr>
              </m:dPr>
              <m:e>
                <m:f>
                  <m:fPr>
                    <m:ctrlPr>
                      <w:rPr>
                        <w:rFonts w:ascii="Cambria Math" w:hAnsi="Cambria Math"/>
                        <w:iCs/>
                      </w:rPr>
                    </m:ctrlPr>
                  </m:fPr>
                  <m:num>
                    <m:r>
                      <w:rPr>
                        <w:rFonts w:ascii="Cambria Math" w:hAnsi="Cambria Math"/>
                      </w:rPr>
                      <m:t>Δ+m</m:t>
                    </m:r>
                  </m:num>
                  <m:den>
                    <m:r>
                      <m:rPr>
                        <m:sty m:val="p"/>
                      </m:rPr>
                      <w:rPr>
                        <w:rFonts w:ascii="Cambria Math" w:hAnsi="Cambria Math"/>
                      </w:rPr>
                      <m:t>SE</m:t>
                    </m:r>
                  </m:den>
                </m:f>
                <m:r>
                  <w:rPr>
                    <w:rFonts w:ascii="Cambria Math" w:hAnsi="Cambria Math"/>
                  </w:rPr>
                  <m:t>-</m:t>
                </m:r>
                <m:sSub>
                  <m:sSubPr>
                    <m:ctrlPr>
                      <w:rPr>
                        <w:rFonts w:ascii="Cambria Math" w:hAnsi="Cambria Math"/>
                        <w:iCs/>
                      </w:rPr>
                    </m:ctrlPr>
                  </m:sSubPr>
                  <m:e>
                    <m:r>
                      <w:rPr>
                        <w:rFonts w:ascii="Cambria Math" w:hAnsi="Cambria Math"/>
                      </w:rPr>
                      <m:t>t</m:t>
                    </m:r>
                  </m:e>
                  <m:sub>
                    <m:r>
                      <w:rPr>
                        <w:rFonts w:ascii="Cambria Math" w:hAnsi="Cambria Math"/>
                      </w:rPr>
                      <m:t>k</m:t>
                    </m:r>
                  </m:sub>
                </m:sSub>
                <m:d>
                  <m:dPr>
                    <m:ctrlPr>
                      <w:rPr>
                        <w:rFonts w:ascii="Cambria Math" w:hAnsi="Cambria Math"/>
                        <w:iCs/>
                      </w:rPr>
                    </m:ctrlPr>
                  </m:dPr>
                  <m:e>
                    <m:r>
                      <w:rPr>
                        <w:rFonts w:ascii="Cambria Math" w:hAnsi="Cambria Math"/>
                      </w:rPr>
                      <m:t>α</m:t>
                    </m:r>
                  </m:e>
                </m:d>
              </m:e>
            </m:d>
          </m:e>
        </m:d>
        <m:r>
          <w:rPr>
            <w:rFonts w:ascii="Cambria Math" w:hAnsi="Cambria Math"/>
          </w:rPr>
          <m:t>+</m:t>
        </m:r>
        <m:d>
          <m:dPr>
            <m:ctrlPr>
              <w:rPr>
                <w:rFonts w:ascii="Cambria Math" w:hAnsi="Cambria Math"/>
                <w:iCs/>
              </w:rPr>
            </m:ctrlPr>
          </m:dPr>
          <m:e>
            <m:r>
              <w:rPr>
                <w:rFonts w:ascii="Cambria Math" w:hAnsi="Cambria Math"/>
              </w:rPr>
              <m:t>1-</m:t>
            </m:r>
            <m:sSub>
              <m:sSubPr>
                <m:ctrlPr>
                  <w:rPr>
                    <w:rFonts w:ascii="Cambria Math" w:hAnsi="Cambria Math"/>
                    <w:iCs/>
                  </w:rPr>
                </m:ctrlPr>
              </m:sSubPr>
              <m:e>
                <m:r>
                  <w:rPr>
                    <w:rFonts w:ascii="Cambria Math" w:hAnsi="Cambria Math"/>
                  </w:rPr>
                  <m:t>T</m:t>
                </m:r>
              </m:e>
              <m:sub>
                <m:r>
                  <w:rPr>
                    <w:rFonts w:ascii="Cambria Math" w:hAnsi="Cambria Math"/>
                  </w:rPr>
                  <m:t>k</m:t>
                </m:r>
              </m:sub>
            </m:sSub>
            <m:d>
              <m:dPr>
                <m:ctrlPr>
                  <w:rPr>
                    <w:rFonts w:ascii="Cambria Math" w:hAnsi="Cambria Math"/>
                    <w:iCs/>
                  </w:rPr>
                </m:ctrlPr>
              </m:dPr>
              <m:e>
                <m:f>
                  <m:fPr>
                    <m:ctrlPr>
                      <w:rPr>
                        <w:rFonts w:ascii="Cambria Math" w:hAnsi="Cambria Math"/>
                        <w:iCs/>
                      </w:rPr>
                    </m:ctrlPr>
                  </m:fPr>
                  <m:num>
                    <m:r>
                      <w:rPr>
                        <w:rFonts w:ascii="Cambria Math" w:hAnsi="Cambria Math"/>
                      </w:rPr>
                      <m:t>Δ-m</m:t>
                    </m:r>
                  </m:num>
                  <m:den>
                    <m:r>
                      <m:rPr>
                        <m:sty m:val="p"/>
                      </m:rPr>
                      <w:rPr>
                        <w:rFonts w:ascii="Cambria Math" w:hAnsi="Cambria Math"/>
                      </w:rPr>
                      <m:t>SE</m:t>
                    </m:r>
                  </m:den>
                </m:f>
                <m:r>
                  <w:rPr>
                    <w:rFonts w:ascii="Cambria Math" w:hAnsi="Cambria Math"/>
                  </w:rPr>
                  <m:t>-</m:t>
                </m:r>
                <m:sSub>
                  <m:sSubPr>
                    <m:ctrlPr>
                      <w:rPr>
                        <w:rFonts w:ascii="Cambria Math" w:hAnsi="Cambria Math"/>
                        <w:iCs/>
                      </w:rPr>
                    </m:ctrlPr>
                  </m:sSubPr>
                  <m:e>
                    <m:r>
                      <w:rPr>
                        <w:rFonts w:ascii="Cambria Math" w:hAnsi="Cambria Math"/>
                      </w:rPr>
                      <m:t>t</m:t>
                    </m:r>
                  </m:e>
                  <m:sub>
                    <m:r>
                      <w:rPr>
                        <w:rFonts w:ascii="Cambria Math" w:hAnsi="Cambria Math"/>
                      </w:rPr>
                      <m:t>k</m:t>
                    </m:r>
                  </m:sub>
                </m:sSub>
                <m:d>
                  <m:dPr>
                    <m:ctrlPr>
                      <w:rPr>
                        <w:rFonts w:ascii="Cambria Math" w:hAnsi="Cambria Math"/>
                        <w:iCs/>
                      </w:rPr>
                    </m:ctrlPr>
                  </m:dPr>
                  <m:e>
                    <m:r>
                      <w:rPr>
                        <w:rFonts w:ascii="Cambria Math" w:hAnsi="Cambria Math"/>
                      </w:rPr>
                      <m:t>α</m:t>
                    </m:r>
                  </m:e>
                </m:d>
              </m:e>
            </m:d>
          </m:e>
        </m:d>
      </m:oMath>
      <w:r w:rsidRPr="00DD54B8">
        <w:rPr>
          <w:iCs/>
        </w:rPr>
        <w:t xml:space="preserve">  .         </w:t>
      </w:r>
      <w:bookmarkStart w:id="2" w:name="EQType2"/>
      <w:r w:rsidRPr="00DD54B8">
        <w:t>(</w:t>
      </w:r>
      <w:r w:rsidRPr="00DD54B8">
        <w:fldChar w:fldCharType="begin"/>
      </w:r>
      <w:r w:rsidRPr="00DD54B8">
        <w:instrText xml:space="preserve"> AUTONUMLGL  \e </w:instrText>
      </w:r>
      <w:r w:rsidRPr="00DD54B8">
        <w:fldChar w:fldCharType="end"/>
      </w:r>
      <w:r w:rsidRPr="00DD54B8">
        <w:t>)</w:t>
      </w:r>
      <w:bookmarkEnd w:id="2"/>
    </w:p>
    <w:p w14:paraId="475DD745" w14:textId="0ED2E5E5" w:rsidR="0079670D" w:rsidRPr="00DD54B8" w:rsidRDefault="0079670D" w:rsidP="00A470A7">
      <w:pPr>
        <w:spacing w:line="360" w:lineRule="auto"/>
        <w:ind w:firstLine="720"/>
        <w:rPr>
          <w:iCs/>
        </w:rPr>
      </w:pPr>
      <w:r w:rsidRPr="00DD54B8">
        <w:t xml:space="preserve">When </w:t>
      </w:r>
      <m:oMath>
        <m:r>
          <w:rPr>
            <w:rFonts w:ascii="Cambria Math" w:hAnsi="Cambria Math"/>
          </w:rPr>
          <m:t>m=0</m:t>
        </m:r>
      </m:oMath>
      <w:r w:rsidRPr="00DD54B8">
        <w:t xml:space="preserve"> the Type II error rate is twice that of a single one-sided test. </w:t>
      </w:r>
      <w:r w:rsidRPr="00DD54B8">
        <w:rPr>
          <w:iCs/>
        </w:rPr>
        <w:t xml:space="preserve">In the general case, it is clear from (3) that for any given </w:t>
      </w:r>
      <w:r>
        <w:rPr>
          <w:noProof/>
          <w:position w:val="-12"/>
        </w:rPr>
        <w:drawing>
          <wp:inline distT="0" distB="0" distL="0" distR="0" wp14:anchorId="324E4B5F" wp14:editId="3E9254FB">
            <wp:extent cx="74803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8030" cy="228600"/>
                    </a:xfrm>
                    <a:prstGeom prst="rect">
                      <a:avLst/>
                    </a:prstGeom>
                    <a:noFill/>
                    <a:ln>
                      <a:noFill/>
                    </a:ln>
                  </pic:spPr>
                </pic:pic>
              </a:graphicData>
            </a:graphic>
          </wp:inline>
        </w:drawing>
      </w:r>
      <w:r w:rsidRPr="00DD54B8">
        <w:t xml:space="preserve">, </w:t>
      </w:r>
      <w:r w:rsidRPr="00DD54B8">
        <w:rPr>
          <w:iCs/>
        </w:rPr>
        <w:t xml:space="preserve">a target Type II error rate of </w:t>
      </w:r>
      <w:r w:rsidRPr="00DD54B8">
        <w:rPr>
          <w:i/>
          <w:iCs/>
        </w:rPr>
        <w:t>β</w:t>
      </w:r>
      <w:r w:rsidRPr="00DD54B8">
        <w:rPr>
          <w:iCs/>
        </w:rPr>
        <w:t xml:space="preserve"> can be achieved when</w:t>
      </w:r>
    </w:p>
    <w:p w14:paraId="76185B7D" w14:textId="75E7799B" w:rsidR="0079670D" w:rsidRPr="00DD54B8" w:rsidRDefault="0079670D" w:rsidP="0079670D">
      <w:pPr>
        <w:spacing w:line="360" w:lineRule="auto"/>
        <w:jc w:val="center"/>
        <w:rPr>
          <w:iCs/>
        </w:rPr>
      </w:pPr>
      <m:oMath>
        <m:r>
          <w:rPr>
            <w:rFonts w:ascii="Cambria Math"/>
          </w:rPr>
          <m:t>1</m:t>
        </m:r>
        <m:r>
          <w:rPr>
            <w:rFonts w:ascii="Cambria Math"/>
          </w:rPr>
          <m:t>-</m:t>
        </m:r>
        <m:sSub>
          <m:sSubPr>
            <m:ctrlPr>
              <w:rPr>
                <w:rFonts w:ascii="Cambria Math" w:hAnsi="Cambria Math"/>
                <w:i/>
                <w:iCs/>
              </w:rPr>
            </m:ctrlPr>
          </m:sSubPr>
          <m:e>
            <m:r>
              <w:rPr>
                <w:rFonts w:ascii="Cambria Math"/>
              </w:rPr>
              <m:t>T</m:t>
            </m:r>
          </m:e>
          <m:sub>
            <m:r>
              <w:rPr>
                <w:rFonts w:ascii="Cambria Math"/>
              </w:rPr>
              <m:t>k</m:t>
            </m:r>
          </m:sub>
        </m:sSub>
        <m:d>
          <m:dPr>
            <m:ctrlPr>
              <w:rPr>
                <w:rFonts w:ascii="Cambria Math" w:hAnsi="Cambria Math"/>
                <w:i/>
                <w:iCs/>
              </w:rPr>
            </m:ctrlPr>
          </m:dPr>
          <m:e>
            <m:f>
              <m:fPr>
                <m:ctrlPr>
                  <w:rPr>
                    <w:rFonts w:ascii="Cambria Math" w:hAnsi="Cambria Math"/>
                    <w:i/>
                    <w:iCs/>
                  </w:rPr>
                </m:ctrlPr>
              </m:fPr>
              <m:num>
                <m:r>
                  <w:rPr>
                    <w:rFonts w:ascii="Cambria Math"/>
                  </w:rPr>
                  <m:t>Δ+</m:t>
                </m:r>
                <m:r>
                  <w:rPr>
                    <w:rFonts w:ascii="Cambria Math" w:hAnsi="Cambria Math"/>
                  </w:rPr>
                  <m:t>m</m:t>
                </m:r>
              </m:num>
              <m:den>
                <m:r>
                  <m:rPr>
                    <m:sty m:val="p"/>
                  </m:rPr>
                  <w:rPr>
                    <w:rFonts w:ascii="Cambria Math" w:hAnsi="Cambria Math"/>
                  </w:rPr>
                  <m:t>SE</m:t>
                </m:r>
              </m:den>
            </m:f>
            <m:r>
              <w:rPr>
                <w:rFonts w:ascii="Cambria Math"/>
              </w:rPr>
              <m:t>-</m:t>
            </m:r>
            <m:sSub>
              <m:sSubPr>
                <m:ctrlPr>
                  <w:rPr>
                    <w:rFonts w:ascii="Cambria Math" w:hAnsi="Cambria Math"/>
                    <w:i/>
                    <w:iCs/>
                  </w:rPr>
                </m:ctrlPr>
              </m:sSubPr>
              <m:e>
                <m:r>
                  <w:rPr>
                    <w:rFonts w:ascii="Cambria Math"/>
                  </w:rPr>
                  <m:t>t</m:t>
                </m:r>
              </m:e>
              <m:sub>
                <m:r>
                  <w:rPr>
                    <w:rFonts w:ascii="Cambria Math"/>
                  </w:rPr>
                  <m:t>k</m:t>
                </m:r>
              </m:sub>
            </m:sSub>
            <m:d>
              <m:dPr>
                <m:ctrlPr>
                  <w:rPr>
                    <w:rFonts w:ascii="Cambria Math" w:hAnsi="Cambria Math"/>
                    <w:i/>
                    <w:iCs/>
                  </w:rPr>
                </m:ctrlPr>
              </m:dPr>
              <m:e>
                <m:r>
                  <w:rPr>
                    <w:rFonts w:ascii="Cambria Math"/>
                  </w:rPr>
                  <m:t>α</m:t>
                </m:r>
              </m:e>
            </m:d>
          </m:e>
        </m:d>
        <m:r>
          <w:rPr>
            <w:rFonts w:ascii="Cambria Math" w:hAnsi="Cambria Math"/>
          </w:rPr>
          <m:t xml:space="preserve">≤ </m:t>
        </m:r>
        <m:sSub>
          <m:sSubPr>
            <m:ctrlPr>
              <w:rPr>
                <w:rFonts w:ascii="Cambria Math" w:hAnsi="Cambria Math"/>
                <w:i/>
                <w:iCs/>
              </w:rPr>
            </m:ctrlPr>
          </m:sSubPr>
          <m:e>
            <m:r>
              <w:rPr>
                <w:rFonts w:ascii="Cambria Math"/>
              </w:rPr>
              <m:t>β</m:t>
            </m:r>
          </m:e>
          <m:sub>
            <m:r>
              <w:rPr>
                <w:rFonts w:ascii="Cambria Math"/>
              </w:rPr>
              <m:t>1</m:t>
            </m:r>
          </m:sub>
        </m:sSub>
      </m:oMath>
      <w:r w:rsidRPr="00DD54B8">
        <w:rPr>
          <w:iCs/>
        </w:rPr>
        <w:t xml:space="preserve"> </w:t>
      </w:r>
    </w:p>
    <w:p w14:paraId="1F7ABA0E" w14:textId="77777777" w:rsidR="0079670D" w:rsidRPr="00DD54B8" w:rsidRDefault="0079670D" w:rsidP="0079670D">
      <w:pPr>
        <w:spacing w:line="360" w:lineRule="auto"/>
        <w:rPr>
          <w:iCs/>
        </w:rPr>
      </w:pPr>
      <w:r w:rsidRPr="00DD54B8">
        <w:rPr>
          <w:iCs/>
        </w:rPr>
        <w:t xml:space="preserve">and </w:t>
      </w:r>
    </w:p>
    <w:p w14:paraId="42407770" w14:textId="763BF3A2" w:rsidR="0079670D" w:rsidRPr="00DD54B8" w:rsidRDefault="0079670D" w:rsidP="0079670D">
      <w:pPr>
        <w:spacing w:line="360" w:lineRule="auto"/>
        <w:jc w:val="center"/>
        <w:rPr>
          <w:iCs/>
        </w:rPr>
      </w:pPr>
      <m:oMath>
        <m:r>
          <w:rPr>
            <w:rFonts w:ascii="Cambria Math"/>
          </w:rPr>
          <m:t>1</m:t>
        </m:r>
        <m:r>
          <w:rPr>
            <w:rFonts w:ascii="Cambria Math"/>
          </w:rPr>
          <m:t>-</m:t>
        </m:r>
        <m:sSub>
          <m:sSubPr>
            <m:ctrlPr>
              <w:rPr>
                <w:rFonts w:ascii="Cambria Math" w:hAnsi="Cambria Math"/>
                <w:i/>
                <w:iCs/>
              </w:rPr>
            </m:ctrlPr>
          </m:sSubPr>
          <m:e>
            <m:r>
              <w:rPr>
                <w:rFonts w:ascii="Cambria Math"/>
              </w:rPr>
              <m:t>T</m:t>
            </m:r>
          </m:e>
          <m:sub>
            <m:r>
              <w:rPr>
                <w:rFonts w:ascii="Cambria Math"/>
              </w:rPr>
              <m:t>k</m:t>
            </m:r>
          </m:sub>
        </m:sSub>
        <m:d>
          <m:dPr>
            <m:ctrlPr>
              <w:rPr>
                <w:rFonts w:ascii="Cambria Math" w:hAnsi="Cambria Math"/>
                <w:i/>
                <w:iCs/>
              </w:rPr>
            </m:ctrlPr>
          </m:dPr>
          <m:e>
            <m:f>
              <m:fPr>
                <m:ctrlPr>
                  <w:rPr>
                    <w:rFonts w:ascii="Cambria Math" w:hAnsi="Cambria Math"/>
                    <w:i/>
                    <w:iCs/>
                  </w:rPr>
                </m:ctrlPr>
              </m:fPr>
              <m:num>
                <m:r>
                  <w:rPr>
                    <w:rFonts w:ascii="Cambria Math"/>
                  </w:rPr>
                  <m:t>Δ</m:t>
                </m:r>
                <m:r>
                  <w:rPr>
                    <w:rFonts w:ascii="Cambria Math"/>
                  </w:rPr>
                  <m:t>-</m:t>
                </m:r>
                <m:r>
                  <w:rPr>
                    <w:rFonts w:ascii="Cambria Math" w:hAnsi="Cambria Math"/>
                  </w:rPr>
                  <m:t>m</m:t>
                </m:r>
              </m:num>
              <m:den>
                <m:r>
                  <m:rPr>
                    <m:sty m:val="p"/>
                  </m:rPr>
                  <w:rPr>
                    <w:rFonts w:ascii="Cambria Math" w:hAnsi="Cambria Math"/>
                  </w:rPr>
                  <m:t>SE</m:t>
                </m:r>
              </m:den>
            </m:f>
            <m:r>
              <w:rPr>
                <w:rFonts w:ascii="Cambria Math"/>
              </w:rPr>
              <m:t>-</m:t>
            </m:r>
            <m:sSub>
              <m:sSubPr>
                <m:ctrlPr>
                  <w:rPr>
                    <w:rFonts w:ascii="Cambria Math" w:hAnsi="Cambria Math"/>
                    <w:i/>
                    <w:iCs/>
                  </w:rPr>
                </m:ctrlPr>
              </m:sSubPr>
              <m:e>
                <m:r>
                  <w:rPr>
                    <w:rFonts w:ascii="Cambria Math"/>
                  </w:rPr>
                  <m:t>t</m:t>
                </m:r>
              </m:e>
              <m:sub>
                <m:r>
                  <w:rPr>
                    <w:rFonts w:ascii="Cambria Math"/>
                  </w:rPr>
                  <m:t>k</m:t>
                </m:r>
              </m:sub>
            </m:sSub>
            <m:d>
              <m:dPr>
                <m:ctrlPr>
                  <w:rPr>
                    <w:rFonts w:ascii="Cambria Math" w:hAnsi="Cambria Math"/>
                    <w:i/>
                    <w:iCs/>
                  </w:rPr>
                </m:ctrlPr>
              </m:dPr>
              <m:e>
                <m:r>
                  <w:rPr>
                    <w:rFonts w:ascii="Cambria Math"/>
                  </w:rPr>
                  <m:t>α</m:t>
                </m:r>
              </m:e>
            </m:d>
          </m:e>
        </m:d>
        <m:r>
          <w:rPr>
            <w:rFonts w:ascii="Cambria Math" w:hAnsi="Cambria Math"/>
          </w:rPr>
          <m:t xml:space="preserve">≤ </m:t>
        </m:r>
        <m:sSub>
          <m:sSubPr>
            <m:ctrlPr>
              <w:rPr>
                <w:rFonts w:ascii="Cambria Math" w:hAnsi="Cambria Math"/>
                <w:i/>
                <w:iCs/>
              </w:rPr>
            </m:ctrlPr>
          </m:sSubPr>
          <m:e>
            <m:r>
              <w:rPr>
                <w:rFonts w:ascii="Cambria Math"/>
              </w:rPr>
              <m:t>β</m:t>
            </m:r>
          </m:e>
          <m:sub>
            <m:r>
              <w:rPr>
                <w:rFonts w:ascii="Cambria Math"/>
              </w:rPr>
              <m:t>2</m:t>
            </m:r>
          </m:sub>
        </m:sSub>
      </m:oMath>
      <w:r w:rsidRPr="00DD54B8">
        <w:rPr>
          <w:iCs/>
        </w:rPr>
        <w:t>.</w:t>
      </w:r>
    </w:p>
    <w:p w14:paraId="3E32E10C" w14:textId="77777777" w:rsidR="0079670D" w:rsidRPr="00DD54B8" w:rsidRDefault="0079670D" w:rsidP="0079670D">
      <w:pPr>
        <w:spacing w:line="360" w:lineRule="auto"/>
        <w:rPr>
          <w:iCs/>
        </w:rPr>
      </w:pPr>
      <w:r w:rsidRPr="00DD54B8">
        <w:rPr>
          <w:iCs/>
        </w:rPr>
        <w:t xml:space="preserve">Take </w:t>
      </w:r>
      <m:oMath>
        <m:sSub>
          <m:sSubPr>
            <m:ctrlPr>
              <w:rPr>
                <w:rFonts w:ascii="Cambria Math" w:hAnsi="Cambria Math"/>
                <w:i/>
                <w:iCs/>
              </w:rPr>
            </m:ctrlPr>
          </m:sSubPr>
          <m:e>
            <m:r>
              <w:rPr>
                <w:rFonts w:ascii="Cambria Math"/>
              </w:rPr>
              <m:t>β</m:t>
            </m:r>
          </m:e>
          <m:sub>
            <m:r>
              <w:rPr>
                <w:rFonts w:ascii="Cambria Math"/>
              </w:rPr>
              <m:t>1</m:t>
            </m:r>
          </m:sub>
        </m:sSub>
        <m:r>
          <w:rPr>
            <w:rFonts w:asci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t>
            </m:r>
            <m:r>
              <m:rPr>
                <m:sty m:val="p"/>
              </m:rPr>
              <w:rPr>
                <w:rFonts w:ascii="Cambria Math" w:hAnsi="Cambria Math"/>
              </w:rPr>
              <m:t>+</m:t>
            </m:r>
            <m:r>
              <w:rPr>
                <w:rFonts w:ascii="Cambria Math"/>
              </w:rPr>
              <m:t>m</m:t>
            </m:r>
          </m:e>
        </m:d>
        <m:r>
          <w:rPr>
            <w:rFonts w:ascii="Cambria Math"/>
          </w:rPr>
          <m:t xml:space="preserve">  </m:t>
        </m:r>
      </m:oMath>
      <w:r w:rsidRPr="00DD54B8">
        <w:rPr>
          <w:iCs/>
        </w:rPr>
        <w:t xml:space="preserve">and </w:t>
      </w:r>
      <m:oMath>
        <m:sSub>
          <m:sSubPr>
            <m:ctrlPr>
              <w:rPr>
                <w:rFonts w:ascii="Cambria Math" w:hAnsi="Cambria Math"/>
                <w:i/>
                <w:iCs/>
              </w:rPr>
            </m:ctrlPr>
          </m:sSubPr>
          <m:e>
            <m:r>
              <w:rPr>
                <w:rFonts w:ascii="Cambria Math"/>
              </w:rPr>
              <m:t>β</m:t>
            </m:r>
          </m:e>
          <m:sub>
            <m:r>
              <w:rPr>
                <w:rFonts w:ascii="Cambria Math"/>
              </w:rPr>
              <m:t>2</m:t>
            </m:r>
          </m:sub>
        </m:sSub>
        <m:r>
          <w:rPr>
            <w:rFonts w:asci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t>
            </m:r>
            <m:r>
              <m:rPr>
                <m:sty m:val="p"/>
              </m:rPr>
              <w:rPr>
                <w:rFonts w:ascii="Cambria Math" w:hAnsi="Cambria Math"/>
              </w:rPr>
              <m:t>-</m:t>
            </m:r>
            <m:r>
              <w:rPr>
                <w:rFonts w:ascii="Cambria Math"/>
              </w:rPr>
              <m:t>m</m:t>
            </m:r>
          </m:e>
        </m:d>
        <m:r>
          <w:rPr>
            <w:rFonts w:ascii="Cambria Math"/>
          </w:rPr>
          <m:t xml:space="preserve">. </m:t>
        </m:r>
      </m:oMath>
      <w:r w:rsidRPr="00DD54B8">
        <w:rPr>
          <w:iCs/>
        </w:rPr>
        <w:t xml:space="preserve">Then, as in the manipulation that derived (2), we see that (3) will be satisfied if </w:t>
      </w:r>
    </w:p>
    <w:p w14:paraId="40F06FA3" w14:textId="75ED2B16" w:rsidR="0079670D" w:rsidRPr="00DD54B8" w:rsidRDefault="0079670D" w:rsidP="0079670D">
      <w:pPr>
        <w:spacing w:line="360" w:lineRule="auto"/>
        <w:jc w:val="center"/>
      </w:pPr>
      <m:oMath>
        <m:r>
          <m:rPr>
            <m:sty m:val="p"/>
          </m:rPr>
          <w:rPr>
            <w:rFonts w:ascii="Cambria Math" w:hAnsi="Cambria Math"/>
          </w:rPr>
          <m:t>SE</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Δ+m</m:t>
                </m:r>
              </m:num>
              <m:den>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i/>
                      </w:rPr>
                    </m:ctrlPr>
                  </m:dPr>
                  <m:e>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m:t>
                        </m:r>
                      </m:e>
                    </m:d>
                    <m:r>
                      <w:rPr>
                        <w:rFonts w:ascii="Cambria Math"/>
                      </w:rPr>
                      <m:t xml:space="preserve"> </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rPr>
                      <m:t>α</m:t>
                    </m:r>
                  </m:e>
                </m:d>
              </m:den>
            </m:f>
          </m:e>
        </m:d>
      </m:oMath>
      <w:r w:rsidRPr="00DD54B8">
        <w:t xml:space="preserve">  and </w:t>
      </w:r>
      <m:oMath>
        <m:r>
          <w:rPr>
            <w:rFonts w:ascii="Cambria Math" w:hAnsi="Cambria Math"/>
          </w:rPr>
          <m:t>SE≤</m:t>
        </m:r>
        <m:d>
          <m:dPr>
            <m:ctrlPr>
              <w:rPr>
                <w:rFonts w:ascii="Cambria Math" w:hAnsi="Cambria Math"/>
              </w:rPr>
            </m:ctrlPr>
          </m:dPr>
          <m:e>
            <m:f>
              <m:fPr>
                <m:ctrlPr>
                  <w:rPr>
                    <w:rFonts w:ascii="Cambria Math" w:hAnsi="Cambria Math"/>
                  </w:rPr>
                </m:ctrlPr>
              </m:fPr>
              <m:num>
                <m:r>
                  <w:rPr>
                    <w:rFonts w:ascii="Cambria Math" w:hAnsi="Cambria Math"/>
                  </w:rPr>
                  <m:t>Δ-m</m:t>
                </m:r>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m:t>
                    </m:r>
                  </m:e>
                </m:d>
                <m:r>
                  <w:rPr>
                    <w:rFonts w:ascii="Cambria Math"/>
                  </w:rPr>
                  <m:t xml:space="preserve"> </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(α)</m:t>
                </m:r>
              </m:den>
            </m:f>
          </m:e>
        </m:d>
      </m:oMath>
      <w:r w:rsidRPr="00DD54B8">
        <w:t>,</w:t>
      </w:r>
    </w:p>
    <w:p w14:paraId="62F797BB" w14:textId="77777777" w:rsidR="0079670D" w:rsidRPr="00DD54B8" w:rsidRDefault="0079670D" w:rsidP="0079670D">
      <w:pPr>
        <w:spacing w:line="360" w:lineRule="auto"/>
      </w:pPr>
      <w:r w:rsidRPr="00DD54B8">
        <w:t xml:space="preserve">or equivalently, if </w:t>
      </w:r>
    </w:p>
    <w:p w14:paraId="4F84C0C4" w14:textId="2F742A1D" w:rsidR="0079670D" w:rsidRPr="00DD54B8" w:rsidRDefault="0079670D" w:rsidP="0079670D">
      <w:pPr>
        <w:spacing w:line="360" w:lineRule="auto"/>
        <w:jc w:val="right"/>
      </w:pPr>
      <w:r w:rsidRPr="00DD54B8">
        <w:lastRenderedPageBreak/>
        <w:t xml:space="preserve">            </w:t>
      </w:r>
      <m:oMath>
        <m:r>
          <m:rPr>
            <m:sty m:val="p"/>
          </m:rPr>
          <w:rPr>
            <w:rFonts w:ascii="Cambria Math" w:hAnsi="Cambria Math"/>
          </w:rPr>
          <m:t>SE</m:t>
        </m:r>
        <m:r>
          <w:rPr>
            <w:rFonts w:ascii="Cambria Math" w:hAnsi="Cambria Math"/>
          </w:rPr>
          <m:t>≤</m:t>
        </m:r>
        <m:r>
          <m:rPr>
            <m:sty m:val="p"/>
          </m:rPr>
          <w:rPr>
            <w:rFonts w:ascii="Cambria Math" w:hAnsi="Cambria Math"/>
          </w:rPr>
          <m:t>min</m:t>
        </m:r>
        <m:d>
          <m:dPr>
            <m:ctrlPr>
              <w:rPr>
                <w:rFonts w:ascii="Cambria Math" w:hAnsi="Cambria Math"/>
              </w:rPr>
            </m:ctrlPr>
          </m:dPr>
          <m:e>
            <m:r>
              <w:rPr>
                <w:rFonts w:ascii="Cambria Math" w:hAnsi="Cambria Math"/>
              </w:rPr>
              <m:t xml:space="preserve">  </m:t>
            </m:r>
            <m:f>
              <m:fPr>
                <m:ctrlPr>
                  <w:rPr>
                    <w:rFonts w:ascii="Cambria Math" w:hAnsi="Cambria Math"/>
                  </w:rPr>
                </m:ctrlPr>
              </m:fPr>
              <m:num>
                <m:r>
                  <w:rPr>
                    <w:rFonts w:ascii="Cambria Math" w:hAnsi="Cambria Math"/>
                  </w:rPr>
                  <m:t>Δ+m</m:t>
                </m:r>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m:t>
                    </m:r>
                  </m:e>
                </m:d>
                <m:r>
                  <w:rPr>
                    <w:rFonts w:ascii="Cambria Math"/>
                  </w:rPr>
                  <m:t xml:space="preserve"> </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(α)</m:t>
                </m:r>
              </m:den>
            </m:f>
            <m:r>
              <w:rPr>
                <w:rFonts w:ascii="Cambria Math" w:hAnsi="Cambria Math"/>
              </w:rPr>
              <m:t>,</m:t>
            </m:r>
            <m:f>
              <m:fPr>
                <m:ctrlPr>
                  <w:rPr>
                    <w:rFonts w:ascii="Cambria Math" w:hAnsi="Cambria Math"/>
                  </w:rPr>
                </m:ctrlPr>
              </m:fPr>
              <m:num>
                <m:r>
                  <w:rPr>
                    <w:rFonts w:ascii="Cambria Math" w:hAnsi="Cambria Math"/>
                  </w:rPr>
                  <m:t>Δ-m</m:t>
                </m:r>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m:t>
                    </m:r>
                  </m:e>
                </m:d>
                <m:r>
                  <w:rPr>
                    <w:rFonts w:ascii="Cambria Math"/>
                  </w:rPr>
                  <m:t xml:space="preserve"> </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(α)</m:t>
                </m:r>
              </m:den>
            </m:f>
          </m:e>
        </m:d>
      </m:oMath>
      <w:r w:rsidRPr="00DD54B8">
        <w:t xml:space="preserve">.  </w:t>
      </w:r>
      <w:r>
        <w:t xml:space="preserve">                    </w:t>
      </w:r>
      <w:r w:rsidRPr="00DD54B8">
        <w:t xml:space="preserve">  (</w:t>
      </w:r>
      <w:r w:rsidRPr="00DD54B8">
        <w:fldChar w:fldCharType="begin"/>
      </w:r>
      <w:r w:rsidRPr="00DD54B8">
        <w:instrText xml:space="preserve"> AUTONUMLGL  \e </w:instrText>
      </w:r>
      <w:r w:rsidRPr="00DD54B8">
        <w:fldChar w:fldCharType="end"/>
      </w:r>
      <w:r w:rsidRPr="00DD54B8">
        <w:t>)</w:t>
      </w:r>
    </w:p>
    <w:p w14:paraId="32E40542" w14:textId="6005A474" w:rsidR="0079670D" w:rsidRPr="00DD54B8" w:rsidRDefault="0079670D" w:rsidP="0079670D">
      <w:pPr>
        <w:spacing w:line="360" w:lineRule="auto"/>
      </w:pPr>
      <w:r w:rsidRPr="00DD54B8">
        <w:t xml:space="preserve">Now </w:t>
      </w:r>
      <m:oMath>
        <m:f>
          <m:fPr>
            <m:ctrlPr>
              <w:rPr>
                <w:rFonts w:ascii="Cambria Math" w:hAnsi="Cambria Math"/>
              </w:rPr>
            </m:ctrlPr>
          </m:fPr>
          <m:num>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r>
              <w:rPr>
                <w:rFonts w:ascii="Cambria Math"/>
              </w:rPr>
              <m:t xml:space="preserve">x </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(α)</m:t>
            </m:r>
          </m:den>
        </m:f>
      </m:oMath>
      <w:r w:rsidRPr="00DD54B8">
        <w:t xml:space="preserve"> increases with </w:t>
      </w:r>
      <m:oMath>
        <m:r>
          <w:rPr>
            <w:rFonts w:ascii="Cambria Math" w:hAnsi="Cambria Math"/>
          </w:rPr>
          <m:t xml:space="preserve">x </m:t>
        </m:r>
      </m:oMath>
      <w:r w:rsidRPr="00DD54B8">
        <w:t xml:space="preserve">since  </w:t>
      </w:r>
      <m:oMath>
        <m:sSub>
          <m:sSubPr>
            <m:ctrlPr>
              <w:rPr>
                <w:rFonts w:ascii="Cambria Math" w:hAnsi="Cambria Math"/>
              </w:rPr>
            </m:ctrlPr>
          </m:sSubPr>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t</m:t>
            </m:r>
          </m:e>
          <m:sub>
            <m:r>
              <w:rPr>
                <w:rFonts w:ascii="Cambria Math" w:hAnsi="Cambria Math"/>
              </w:rPr>
              <m:t>k</m:t>
            </m:r>
          </m:sub>
        </m:sSub>
        <m:r>
          <w:rPr>
            <w:rFonts w:ascii="Cambria Math" w:hAnsi="Cambria Math"/>
          </w:rPr>
          <m:t>(</m:t>
        </m:r>
        <m:r>
          <w:rPr>
            <w:rFonts w:ascii="Cambria Math"/>
          </w:rPr>
          <m:t>bx)</m:t>
        </m:r>
      </m:oMath>
      <w:r w:rsidRPr="00DD54B8">
        <w:t xml:space="preserve"> is negative whenever </w:t>
      </w:r>
      <m:oMath>
        <m:r>
          <w:rPr>
            <w:rFonts w:ascii="Cambria Math" w:hAnsi="Cambria Math"/>
          </w:rPr>
          <m:t>b&gt;0</m:t>
        </m:r>
      </m:oMath>
      <w:r w:rsidRPr="00DD54B8">
        <w:t xml:space="preserve">. Thus, the first of the terms in the brackets in (4) increases as </w:t>
      </w:r>
      <w:r w:rsidRPr="00DD54B8">
        <w:rPr>
          <w:i/>
          <w:iCs/>
        </w:rPr>
        <w:t xml:space="preserve">m </w:t>
      </w:r>
      <w:r w:rsidRPr="00DD54B8">
        <w:t>increases from -</w:t>
      </w:r>
      <w:r w:rsidRPr="00DD54B8">
        <w:rPr>
          <w:i/>
          <w:iCs/>
        </w:rPr>
        <w:t>Δ</w:t>
      </w:r>
      <w:r w:rsidRPr="00DD54B8">
        <w:t xml:space="preserve"> while the second term decreases.  The terms are equal when </w:t>
      </w:r>
      <w:r w:rsidRPr="00DD54B8">
        <w:rPr>
          <w:i/>
          <w:iCs/>
        </w:rPr>
        <w:t xml:space="preserve">m </w:t>
      </w:r>
      <w:r w:rsidRPr="00DD54B8">
        <w:t>= 0</w:t>
      </w:r>
      <w:r w:rsidRPr="00DD54B8">
        <w:rPr>
          <w:i/>
          <w:iCs/>
        </w:rPr>
        <w:t xml:space="preserve"> </w:t>
      </w:r>
      <w:r w:rsidRPr="00DD54B8">
        <w:t xml:space="preserve">so the first term is the smaller for negative </w:t>
      </w:r>
      <w:r w:rsidRPr="00DD54B8">
        <w:rPr>
          <w:i/>
          <w:iCs/>
        </w:rPr>
        <w:t xml:space="preserve">m </w:t>
      </w:r>
      <w:r w:rsidRPr="00DD54B8">
        <w:t xml:space="preserve">and the second term is at least as small for non-negative </w:t>
      </w:r>
      <w:r w:rsidRPr="00DD54B8">
        <w:rPr>
          <w:i/>
          <w:iCs/>
        </w:rPr>
        <w:t>m</w:t>
      </w:r>
      <w:r>
        <w:rPr>
          <w:i/>
          <w:iCs/>
        </w:rPr>
        <w:t xml:space="preserve">. </w:t>
      </w:r>
      <w:r w:rsidRPr="00DD54B8">
        <w:t xml:space="preserve"> It follows that the Type II error rate for the equivalence test will be at most </w:t>
      </w:r>
      <w:r w:rsidRPr="00DD54B8">
        <w:rPr>
          <w:i/>
          <w:iCs/>
        </w:rPr>
        <w:t xml:space="preserve">β </w:t>
      </w:r>
      <w:r w:rsidRPr="00DD54B8">
        <w:t xml:space="preserve">if      </w:t>
      </w:r>
    </w:p>
    <w:p w14:paraId="70AA7796" w14:textId="5B2D9AA7" w:rsidR="0079670D" w:rsidRPr="00DD54B8" w:rsidRDefault="0079670D" w:rsidP="0079670D">
      <w:pPr>
        <w:spacing w:line="360" w:lineRule="auto"/>
        <w:jc w:val="right"/>
      </w:pPr>
      <m:oMath>
        <m:r>
          <w:rPr>
            <w:rFonts w:ascii="Cambria Math" w:hAnsi="Cambria Math"/>
          </w:rPr>
          <m:t xml:space="preserve">     </m:t>
        </m:r>
        <m:r>
          <m:rPr>
            <m:sty m:val="p"/>
          </m:rPr>
          <w:rPr>
            <w:rFonts w:ascii="Cambria Math" w:hAnsi="Cambria Math"/>
          </w:rPr>
          <m:t>SE</m:t>
        </m:r>
        <m:r>
          <w:rPr>
            <w:rFonts w:ascii="Cambria Math" w:hAnsi="Cambria Math"/>
          </w:rPr>
          <m:t>≤</m:t>
        </m:r>
      </m:oMath>
      <w:r w:rsidRPr="00DD54B8">
        <w:t xml:space="preserve">  </w:t>
      </w:r>
      <m:oMath>
        <m:f>
          <m:fPr>
            <m:ctrlPr>
              <w:rPr>
                <w:rFonts w:ascii="Cambria Math" w:hAnsi="Cambria Math"/>
              </w:rPr>
            </m:ctrlPr>
          </m:fPr>
          <m:num>
            <m:r>
              <w:rPr>
                <w:rFonts w:ascii="Cambria Math" w:hAnsi="Cambria Math"/>
              </w:rPr>
              <m:t>Δ-</m:t>
            </m:r>
            <m:d>
              <m:dPr>
                <m:begChr m:val="|"/>
                <m:endChr m:val="|"/>
                <m:ctrlPr>
                  <w:rPr>
                    <w:rFonts w:ascii="Cambria Math" w:hAnsi="Cambria Math"/>
                    <w:i/>
                  </w:rPr>
                </m:ctrlPr>
              </m:dPr>
              <m:e>
                <m:r>
                  <w:rPr>
                    <w:rFonts w:ascii="Cambria Math" w:hAnsi="Cambria Math"/>
                  </w:rPr>
                  <m:t>m</m:t>
                </m:r>
              </m:e>
            </m:d>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t>
                </m:r>
                <m:d>
                  <m:dPr>
                    <m:begChr m:val="|"/>
                    <m:endChr m:val="|"/>
                    <m:ctrlPr>
                      <w:rPr>
                        <w:rFonts w:ascii="Cambria Math" w:hAnsi="Cambria Math"/>
                        <w:i/>
                      </w:rPr>
                    </m:ctrlPr>
                  </m:dPr>
                  <m:e>
                    <m:r>
                      <w:rPr>
                        <w:rFonts w:ascii="Cambria Math" w:hAnsi="Cambria Math"/>
                      </w:rPr>
                      <m:t>m</m:t>
                    </m:r>
                  </m:e>
                </m:d>
              </m:e>
            </m:d>
            <m:r>
              <w:rPr>
                <w:rFonts w:ascii="Cambria Math"/>
              </w:rPr>
              <m:t xml:space="preserve"> </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r>
                  <w:rPr>
                    <w:rFonts w:ascii="Cambria Math" w:hAnsi="Cambria Math"/>
                  </w:rPr>
                  <m:t>k</m:t>
                </m:r>
              </m:sub>
            </m:sSub>
            <m:r>
              <w:rPr>
                <w:rFonts w:ascii="Cambria Math" w:hAnsi="Cambria Math"/>
              </w:rPr>
              <m:t>(α)</m:t>
            </m:r>
          </m:den>
        </m:f>
      </m:oMath>
      <w:r w:rsidRPr="00DD54B8">
        <w:t xml:space="preserve">  .              </w:t>
      </w:r>
      <w:r>
        <w:t xml:space="preserve">                   </w:t>
      </w:r>
      <w:r w:rsidRPr="00DD54B8">
        <w:t xml:space="preserve">                 (</w:t>
      </w:r>
      <w:r w:rsidRPr="00DD54B8">
        <w:fldChar w:fldCharType="begin"/>
      </w:r>
      <w:r w:rsidRPr="00DD54B8">
        <w:instrText xml:space="preserve"> AUTONUMLGL  \e </w:instrText>
      </w:r>
      <w:r w:rsidRPr="00DD54B8">
        <w:fldChar w:fldCharType="end"/>
      </w:r>
      <w:r w:rsidRPr="00DD54B8">
        <w:t>)</w:t>
      </w:r>
    </w:p>
    <w:p w14:paraId="56BAA1B0" w14:textId="77777777" w:rsidR="0079670D" w:rsidRDefault="0079670D" w:rsidP="0079670D">
      <w:pPr>
        <w:spacing w:line="360" w:lineRule="auto"/>
        <w:rPr>
          <w:iCs/>
        </w:rPr>
      </w:pPr>
      <w:r w:rsidRPr="00DD54B8">
        <w:t xml:space="preserve">Because of how we derived this inequality, it may under-estimate the standard error needed to achieve adequate power.  </w:t>
      </w:r>
    </w:p>
    <w:p w14:paraId="50D9C1DD" w14:textId="449EC336" w:rsidR="0079670D" w:rsidRPr="00DD54B8" w:rsidRDefault="0079670D" w:rsidP="0079670D">
      <w:pPr>
        <w:spacing w:line="360" w:lineRule="auto"/>
        <w:ind w:firstLine="426"/>
      </w:pPr>
      <w:r>
        <w:rPr>
          <w:iCs/>
        </w:rPr>
        <w:t xml:space="preserve">The inequality (5) can be applied as before to compute sample sizes </w:t>
      </w:r>
      <w:r w:rsidRPr="00DD54B8">
        <w:rPr>
          <w:iCs/>
        </w:rPr>
        <w:t xml:space="preserve">as a function of the </w:t>
      </w:r>
      <w:r>
        <w:rPr>
          <w:iCs/>
        </w:rPr>
        <w:t xml:space="preserve">test levels and the </w:t>
      </w:r>
      <w:r w:rsidRPr="00DD54B8">
        <w:rPr>
          <w:iCs/>
        </w:rPr>
        <w:t xml:space="preserve">anticipated effect size </w:t>
      </w:r>
      <w:r w:rsidRPr="00DD54B8">
        <w:rPr>
          <w:i/>
        </w:rPr>
        <w:t>m</w:t>
      </w:r>
      <w:r>
        <w:rPr>
          <w:iCs/>
        </w:rPr>
        <w:t>. For instance, given</w:t>
      </w:r>
      <w:r w:rsidRPr="00DD54B8">
        <w:rPr>
          <w:iCs/>
        </w:rPr>
        <w:t xml:space="preserve"> a two-group design with equal sized groups and pooled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DD54B8">
        <w:rPr>
          <w:iCs/>
        </w:rPr>
        <w:t>,</w:t>
      </w:r>
      <w:r>
        <w:rPr>
          <w:iCs/>
        </w:rPr>
        <w:t xml:space="preserve"> </w:t>
      </w:r>
      <m:oMath>
        <m:r>
          <m:rPr>
            <m:sty m:val="p"/>
          </m:rPr>
          <w:rPr>
            <w:rFonts w:ascii="Cambria Math" w:hAnsi="Cambria Math"/>
          </w:rPr>
          <m:t>SE</m:t>
        </m:r>
        <m:r>
          <w:rPr>
            <w:rFonts w:ascii="Cambria Math" w:hAnsi="Cambria Math"/>
          </w:rPr>
          <m:t>=</m:t>
        </m:r>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r>
          <w:rPr>
            <w:rFonts w:ascii="Cambria Math" w:hAnsi="Cambria Math"/>
          </w:rPr>
          <m:t xml:space="preserve"> </m:t>
        </m:r>
      </m:oMath>
      <w:r>
        <w:rPr>
          <w:iCs/>
        </w:rPr>
        <w:t xml:space="preserve"> and</w:t>
      </w:r>
      <w:r w:rsidRPr="00DD54B8">
        <w:rPr>
          <w:iCs/>
        </w:rPr>
        <w:t xml:space="preserve"> we can apply (5) to derive the </w:t>
      </w:r>
      <w:r w:rsidR="00DE5B9B">
        <w:rPr>
          <w:iCs/>
        </w:rPr>
        <w:t xml:space="preserve">total </w:t>
      </w:r>
      <w:r w:rsidRPr="00DD54B8">
        <w:rPr>
          <w:iCs/>
        </w:rPr>
        <w:t xml:space="preserve">sample size: </w:t>
      </w:r>
    </w:p>
    <w:p w14:paraId="4CEF2ED3" w14:textId="21F87859" w:rsidR="0079670D" w:rsidRPr="00DD54B8" w:rsidRDefault="0079670D" w:rsidP="0079670D">
      <w:pPr>
        <w:spacing w:line="360" w:lineRule="auto"/>
        <w:jc w:val="center"/>
      </w:pPr>
      <m:oMath>
        <m:r>
          <w:rPr>
            <w:rFonts w:ascii="Cambria Math"/>
          </w:rPr>
          <m:t>n=</m:t>
        </m:r>
        <m:r>
          <w:rPr>
            <w:rFonts w:ascii="Cambria Math"/>
          </w:rPr>
          <m:t>4</m:t>
        </m:r>
        <m:sSup>
          <m:sSupPr>
            <m:ctrlPr>
              <w:rPr>
                <w:rFonts w:ascii="Cambria Math" w:hAnsi="Cambria Math"/>
                <w:i/>
                <w:iCs/>
              </w:rPr>
            </m:ctrlPr>
          </m:sSupPr>
          <m:e>
            <m:r>
              <w:rPr>
                <w:rFonts w:ascii="Cambria Math"/>
              </w:rPr>
              <m:t>σ</m:t>
            </m:r>
          </m:e>
          <m:sup>
            <m:r>
              <w:rPr>
                <w:rFonts w:asci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rPr>
                          <m:t>t</m:t>
                        </m:r>
                      </m:e>
                      <m:sub>
                        <m:r>
                          <w:rPr>
                            <w:rFonts w:ascii="Cambria Math"/>
                          </w:rPr>
                          <m:t>n</m:t>
                        </m:r>
                        <m:r>
                          <w:rPr>
                            <w:rFonts w:ascii="Cambria Math"/>
                          </w:rPr>
                          <m:t>-</m:t>
                        </m:r>
                        <m:r>
                          <w:rPr>
                            <w:rFonts w:ascii="Cambria Math"/>
                          </w:rPr>
                          <m:t>2</m:t>
                        </m:r>
                      </m:sub>
                    </m:sSub>
                    <m:r>
                      <w:rPr>
                        <w:rFonts w:asci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m:t>
                        </m:r>
                      </m:e>
                    </m:d>
                    <m:r>
                      <w:rPr>
                        <w:rFonts w:ascii="Cambria Math"/>
                      </w:rPr>
                      <m:t>)+</m:t>
                    </m:r>
                    <m:sSub>
                      <m:sSubPr>
                        <m:ctrlPr>
                          <w:rPr>
                            <w:rFonts w:ascii="Cambria Math" w:hAnsi="Cambria Math"/>
                            <w:i/>
                            <w:iCs/>
                          </w:rPr>
                        </m:ctrlPr>
                      </m:sSubPr>
                      <m:e>
                        <m:r>
                          <w:rPr>
                            <w:rFonts w:ascii="Cambria Math"/>
                          </w:rPr>
                          <m:t>t</m:t>
                        </m:r>
                      </m:e>
                      <m:sub>
                        <m:r>
                          <w:rPr>
                            <w:rFonts w:ascii="Cambria Math"/>
                          </w:rPr>
                          <m:t>n</m:t>
                        </m:r>
                        <m:r>
                          <w:rPr>
                            <w:rFonts w:ascii="Cambria Math"/>
                          </w:rPr>
                          <m:t>-</m:t>
                        </m:r>
                        <m:r>
                          <w:rPr>
                            <w:rFonts w:ascii="Cambria Math"/>
                          </w:rPr>
                          <m:t>2</m:t>
                        </m:r>
                      </m:sub>
                    </m:sSub>
                    <m:r>
                      <w:rPr>
                        <w:rFonts w:ascii="Cambria Math"/>
                      </w:rPr>
                      <m:t>(α)</m:t>
                    </m:r>
                  </m:num>
                  <m:den>
                    <m:r>
                      <w:rPr>
                        <w:rFonts w:ascii="Cambria Math" w:hAnsi="Cambria Math"/>
                      </w:rPr>
                      <m:t>Δ</m:t>
                    </m:r>
                    <m:r>
                      <m:rPr>
                        <m:sty m:val="p"/>
                      </m:rPr>
                      <w:rPr>
                        <w:rFonts w:ascii="Cambria Math" w:hAnsi="Cambria Math"/>
                      </w:rPr>
                      <m:t>+</m:t>
                    </m:r>
                    <m:r>
                      <w:rPr>
                        <w:rFonts w:ascii="Cambria Math" w:hAnsi="Cambria Math"/>
                      </w:rPr>
                      <m:t>m</m:t>
                    </m:r>
                  </m:den>
                </m:f>
              </m:e>
            </m:d>
          </m:e>
          <m:sup>
            <m:r>
              <w:rPr>
                <w:rFonts w:ascii="Cambria Math"/>
              </w:rPr>
              <m:t>2</m:t>
            </m:r>
          </m:sup>
        </m:sSup>
      </m:oMath>
      <w:r w:rsidRPr="00DD54B8">
        <w:t xml:space="preserve"> .</w:t>
      </w:r>
    </w:p>
    <w:p w14:paraId="0EE431F1" w14:textId="77777777" w:rsidR="0079670D" w:rsidRPr="00DD54B8" w:rsidRDefault="0079670D" w:rsidP="0079670D">
      <w:pPr>
        <w:spacing w:line="360" w:lineRule="auto"/>
        <w:rPr>
          <w:iCs/>
        </w:rPr>
      </w:pPr>
      <w:r w:rsidRPr="00DD54B8">
        <w:rPr>
          <w:iCs/>
        </w:rPr>
        <w:t>Shieh (2016) gives SAS and R code for power computations under other designs.</w:t>
      </w:r>
    </w:p>
    <w:p w14:paraId="635CA37F" w14:textId="77777777" w:rsidR="0079670D" w:rsidRPr="00DD54B8" w:rsidRDefault="0079670D" w:rsidP="0079670D">
      <w:pPr>
        <w:spacing w:line="360" w:lineRule="auto"/>
        <w:ind w:firstLine="426"/>
        <w:rPr>
          <w:iCs/>
        </w:rPr>
      </w:pPr>
      <w:r w:rsidRPr="00DD54B8">
        <w:rPr>
          <w:iCs/>
        </w:rPr>
        <w:t xml:space="preserve">Note that for a given anticipated effect size </w:t>
      </w:r>
      <w:r w:rsidRPr="00DD54B8">
        <w:rPr>
          <w:i/>
        </w:rPr>
        <w:t xml:space="preserve">m </w:t>
      </w:r>
      <w:r w:rsidRPr="00DD54B8">
        <w:rPr>
          <w:iCs/>
        </w:rPr>
        <w:t xml:space="preserve">both the non-superiority and non-inferiority tests may </w:t>
      </w:r>
      <w:r>
        <w:rPr>
          <w:iCs/>
        </w:rPr>
        <w:t>each separately</w:t>
      </w:r>
      <w:r w:rsidRPr="00DD54B8">
        <w:rPr>
          <w:iCs/>
        </w:rPr>
        <w:t xml:space="preserve"> achieve the required power, but there is not enough power to satisfy both at the same time.  </w:t>
      </w:r>
      <w:r>
        <w:rPr>
          <w:iCs/>
        </w:rPr>
        <w:t>Given</w:t>
      </w:r>
      <w:r w:rsidRPr="00DD54B8">
        <w:rPr>
          <w:iCs/>
        </w:rPr>
        <w:t xml:space="preserve"> a non-meaningful effect </w:t>
      </w:r>
      <m:oMath>
        <m:r>
          <w:rPr>
            <w:rFonts w:ascii="Cambria Math" w:hAnsi="Cambria Math"/>
          </w:rPr>
          <m:t>m&gt;0</m:t>
        </m:r>
      </m:oMath>
      <w:r w:rsidRPr="00DD54B8">
        <w:rPr>
          <w:iCs/>
        </w:rPr>
        <w:t xml:space="preserve"> then </w:t>
      </w:r>
      <m:oMath>
        <m:d>
          <m:dPr>
            <m:begChr m:val="|"/>
            <m:endChr m:val="|"/>
            <m:ctrlPr>
              <w:rPr>
                <w:rFonts w:ascii="Cambria Math" w:hAnsi="Cambria Math"/>
                <w:i/>
              </w:rPr>
            </m:ctrlPr>
          </m:dPr>
          <m:e>
            <m:r>
              <w:rPr>
                <w:rFonts w:ascii="Cambria Math" w:hAnsi="Cambria Math"/>
              </w:rPr>
              <m:t>-Δ-m</m:t>
            </m:r>
          </m:e>
        </m:d>
      </m:oMath>
      <w:r w:rsidRPr="00DD54B8">
        <w:t>=</w:t>
      </w:r>
      <m:oMath>
        <m:r>
          <w:rPr>
            <w:rFonts w:ascii="Cambria Math" w:hAnsi="Cambria Math"/>
          </w:rPr>
          <m:t xml:space="preserve"> Δ+m </m:t>
        </m:r>
      </m:oMath>
      <w:r w:rsidRPr="00DD54B8">
        <w:t>&gt;</w:t>
      </w:r>
      <m:oMath>
        <m:r>
          <w:rPr>
            <w:rFonts w:ascii="Cambria Math" w:hAnsi="Cambria Math"/>
          </w:rPr>
          <m:t xml:space="preserve"> Δ-m</m:t>
        </m:r>
      </m:oMath>
      <w:r w:rsidRPr="00DD54B8">
        <w:t xml:space="preserve"> so that if inequality (2) is satisfied for a non-superiority test (test on </w:t>
      </w:r>
      <m:oMath>
        <m:r>
          <w:rPr>
            <w:rFonts w:ascii="Cambria Math" w:hAnsi="Cambria Math"/>
          </w:rPr>
          <m:t>Δ</m:t>
        </m:r>
      </m:oMath>
      <w:r w:rsidRPr="00DD54B8">
        <w:t xml:space="preserve"> ) then it will be satisfied for a non-inferiority test (test on </w:t>
      </w:r>
      <m:oMath>
        <m:r>
          <w:rPr>
            <w:rFonts w:ascii="Cambria Math" w:hAnsi="Cambria Math"/>
          </w:rPr>
          <m:t xml:space="preserve">-Δ). </m:t>
        </m:r>
      </m:oMath>
      <w:r w:rsidRPr="00DD54B8">
        <w:t xml:space="preserve"> Similarly, if </w:t>
      </w:r>
      <m:oMath>
        <m:r>
          <w:rPr>
            <w:rFonts w:ascii="Cambria Math" w:hAnsi="Cambria Math"/>
          </w:rPr>
          <m:t>m&lt;0</m:t>
        </m:r>
      </m:oMath>
      <w:r w:rsidRPr="00DD54B8">
        <w:rPr>
          <w:iCs/>
        </w:rPr>
        <w:t xml:space="preserve">, then satisfaction of (2) for a non-inferiority test ensures </w:t>
      </w:r>
      <w:r>
        <w:rPr>
          <w:iCs/>
        </w:rPr>
        <w:t xml:space="preserve">that </w:t>
      </w:r>
      <w:r w:rsidRPr="00DD54B8">
        <w:rPr>
          <w:iCs/>
        </w:rPr>
        <w:t xml:space="preserve">non-superiority is also satisfied. So, for example, if </w:t>
      </w:r>
      <m:oMath>
        <m:r>
          <w:rPr>
            <w:rFonts w:ascii="Cambria Math" w:hAnsi="Cambria Math"/>
          </w:rPr>
          <m:t>m&gt;0</m:t>
        </m:r>
      </m:oMath>
      <w:r w:rsidRPr="00DD54B8">
        <w:rPr>
          <w:iCs/>
        </w:rPr>
        <w:t xml:space="preserve"> and </w:t>
      </w:r>
    </w:p>
    <w:p w14:paraId="73F91AC5" w14:textId="0084795F" w:rsidR="0079670D" w:rsidRPr="00DD54B8" w:rsidRDefault="00A67B35" w:rsidP="0079670D">
      <w:pPr>
        <w:spacing w:line="360" w:lineRule="auto"/>
        <w:jc w:val="center"/>
      </w:pPr>
      <m:oMathPara>
        <m:oMath>
          <m:f>
            <m:fPr>
              <m:ctrlPr>
                <w:rPr>
                  <w:rFonts w:ascii="Cambria Math" w:hAnsi="Cambria Math"/>
                </w:rPr>
              </m:ctrlPr>
            </m:fPr>
            <m:num>
              <m:r>
                <w:rPr>
                  <w:rFonts w:ascii="Cambria Math" w:hAnsi="Cambria Math"/>
                </w:rPr>
                <m:t>Δ-</m:t>
              </m:r>
              <m:d>
                <m:dPr>
                  <m:begChr m:val="|"/>
                  <m:endChr m:val="|"/>
                  <m:ctrlPr>
                    <w:rPr>
                      <w:rFonts w:ascii="Cambria Math" w:hAnsi="Cambria Math"/>
                      <w:i/>
                    </w:rPr>
                  </m:ctrlPr>
                </m:dPr>
                <m:e>
                  <m:r>
                    <w:rPr>
                      <w:rFonts w:ascii="Cambria Math" w:hAnsi="Cambria Math"/>
                    </w:rPr>
                    <m:t>m</m:t>
                  </m:r>
                </m:e>
              </m:d>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iCs/>
                    </w:rPr>
                  </m:ctrlPr>
                </m:fPr>
                <m:num>
                  <m:r>
                    <w:rPr>
                      <w:rFonts w:ascii="Cambria Math" w:hAnsi="Cambria Math"/>
                    </w:rPr>
                    <m:t xml:space="preserve">β </m:t>
                  </m:r>
                </m:num>
                <m:den>
                  <m:r>
                    <w:rPr>
                      <w:rFonts w:ascii="Cambria Math"/>
                    </w:rPr>
                    <m:t>2</m:t>
                  </m:r>
                  <m:r>
                    <w:rPr>
                      <w:rFonts w:ascii="Cambria Math" w:hAnsi="Cambria Math"/>
                    </w:rPr>
                    <m:t>Δ</m:t>
                  </m:r>
                </m:den>
              </m:f>
              <m:d>
                <m:dPr>
                  <m:ctrlPr>
                    <w:rPr>
                      <w:rFonts w:ascii="Cambria Math" w:hAnsi="Cambria Math"/>
                      <w:i/>
                      <w:iCs/>
                    </w:rPr>
                  </m:ctrlPr>
                </m:dPr>
                <m:e>
                  <m:r>
                    <w:rPr>
                      <w:rFonts w:ascii="Cambria Math" w:hAnsi="Cambria Math"/>
                    </w:rPr>
                    <m:t>Δ-</m:t>
                  </m:r>
                  <m:d>
                    <m:dPr>
                      <m:begChr m:val="|"/>
                      <m:endChr m:val="|"/>
                      <m:ctrlPr>
                        <w:rPr>
                          <w:rFonts w:ascii="Cambria Math" w:hAnsi="Cambria Math"/>
                          <w:i/>
                        </w:rPr>
                      </m:ctrlPr>
                    </m:dPr>
                    <m:e>
                      <m:r>
                        <w:rPr>
                          <w:rFonts w:ascii="Cambria Math" w:hAnsi="Cambria Math"/>
                        </w:rPr>
                        <m:t>m</m:t>
                      </m:r>
                    </m:e>
                  </m:d>
                </m:e>
              </m:d>
              <m:r>
                <w:rPr>
                  <w:rFonts w:ascii="Cambria Math"/>
                </w:rPr>
                <m:t xml:space="preserve"> </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(α)</m:t>
              </m:r>
            </m:den>
          </m:f>
          <m:r>
            <m:rPr>
              <m:sty m:val="p"/>
            </m:rPr>
            <w:rPr>
              <w:rFonts w:ascii="Cambria Math" w:hAnsi="Cambria Math"/>
            </w:rPr>
            <m:t xml:space="preserve">  </m:t>
          </m:r>
          <m:r>
            <w:rPr>
              <w:rFonts w:ascii="Cambria Math" w:hAnsi="Cambria Math"/>
            </w:rPr>
            <m:t>≤</m:t>
          </m:r>
          <m:r>
            <m:rPr>
              <m:sty m:val="p"/>
            </m:rPr>
            <w:rPr>
              <w:rFonts w:ascii="Cambria Math" w:hAnsi="Cambria Math"/>
            </w:rPr>
            <m:t>SE</m:t>
          </m:r>
          <m:r>
            <w:rPr>
              <w:rFonts w:ascii="Cambria Math" w:hAnsi="Cambria Math"/>
            </w:rPr>
            <m:t>≤</m:t>
          </m:r>
          <m:f>
            <m:fPr>
              <m:ctrlPr>
                <w:rPr>
                  <w:rFonts w:ascii="Cambria Math" w:hAnsi="Cambria Math"/>
                </w:rPr>
              </m:ctrlPr>
            </m:fPr>
            <m:num>
              <m:r>
                <w:rPr>
                  <w:rFonts w:ascii="Cambria Math" w:hAnsi="Cambria Math"/>
                </w:rPr>
                <m:t>Δ-m</m:t>
              </m:r>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(β)+</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(α)</m:t>
              </m:r>
            </m:den>
          </m:f>
        </m:oMath>
      </m:oMathPara>
    </w:p>
    <w:p w14:paraId="3684FD64" w14:textId="77777777" w:rsidR="0079670D" w:rsidRDefault="0079670D" w:rsidP="0079670D">
      <w:pPr>
        <w:spacing w:line="360" w:lineRule="auto"/>
      </w:pPr>
      <w:r>
        <w:t>t</w:t>
      </w:r>
      <w:r w:rsidRPr="00DD54B8">
        <w:t>hen both non-inferiority and non-superiority tests have adequate power</w:t>
      </w:r>
      <w:r>
        <w:t>;</w:t>
      </w:r>
      <w:r w:rsidRPr="00DD54B8">
        <w:t xml:space="preserve"> but taken together they may not.  </w:t>
      </w:r>
    </w:p>
    <w:p w14:paraId="26F9A8B1" w14:textId="2EA130DC" w:rsidR="0079670D" w:rsidRDefault="0079670D" w:rsidP="00A470A7">
      <w:pPr>
        <w:spacing w:line="360" w:lineRule="auto"/>
        <w:ind w:firstLine="567"/>
        <w:rPr>
          <w:iCs/>
        </w:rPr>
      </w:pPr>
      <w:r>
        <w:t xml:space="preserve">For simplicity, </w:t>
      </w:r>
      <w:r w:rsidR="00FF4077">
        <w:rPr>
          <w:i/>
        </w:rPr>
        <w:t>meraglim</w:t>
      </w:r>
      <w:r w:rsidRPr="000334E9">
        <w:rPr>
          <w:i/>
        </w:rPr>
        <w:t>.shinyapp</w:t>
      </w:r>
      <w:r>
        <w:rPr>
          <w:i/>
        </w:rPr>
        <w:t>s</w:t>
      </w:r>
      <w:r w:rsidRPr="000334E9">
        <w:rPr>
          <w:i/>
        </w:rPr>
        <w:t>.io/</w:t>
      </w:r>
      <w:proofErr w:type="spellStart"/>
      <w:r w:rsidR="00385B7F">
        <w:rPr>
          <w:i/>
        </w:rPr>
        <w:t>genSSize</w:t>
      </w:r>
      <w:proofErr w:type="spellEnd"/>
      <w:r>
        <w:rPr>
          <w:i/>
        </w:rPr>
        <w:t xml:space="preserve"> </w:t>
      </w:r>
      <w:r>
        <w:rPr>
          <w:iCs/>
        </w:rPr>
        <w:t xml:space="preserve">does not explicitly flag the region where (5) is not satisfied but where both </w:t>
      </w:r>
      <w:r w:rsidRPr="00DD54B8">
        <w:t xml:space="preserve">non-inferiority and non-superiority tests </w:t>
      </w:r>
      <w:r>
        <w:t xml:space="preserve">have </w:t>
      </w:r>
      <w:r>
        <w:rPr>
          <w:iCs/>
        </w:rPr>
        <w:t xml:space="preserve">adequate power at the largest of the user-specified alpha levels. Instead, when the anticipated effect size </w:t>
      </w:r>
      <w:r>
        <w:rPr>
          <w:i/>
        </w:rPr>
        <w:t xml:space="preserve">m </w:t>
      </w:r>
      <w:r>
        <w:rPr>
          <w:iCs/>
        </w:rPr>
        <w:t xml:space="preserve">is less than 0 only the non-superiority test is presented as being satisfied, and vice-versa. </w:t>
      </w:r>
    </w:p>
    <w:p w14:paraId="78DC23B6" w14:textId="3052FB5F" w:rsidR="00351EF9" w:rsidRDefault="00351EF9" w:rsidP="00A470A7">
      <w:pPr>
        <w:spacing w:line="360" w:lineRule="auto"/>
        <w:ind w:firstLine="567"/>
        <w:rPr>
          <w:iCs/>
        </w:rPr>
      </w:pPr>
    </w:p>
    <w:p w14:paraId="23500B39" w14:textId="59AA7DF1" w:rsidR="00CD031A" w:rsidRPr="006E7347" w:rsidRDefault="00A67B35" w:rsidP="001E17EE">
      <w:pPr>
        <w:spacing w:line="360" w:lineRule="auto"/>
        <w:ind w:firstLine="567"/>
        <w:rPr>
          <w:rFonts w:eastAsiaTheme="minorEastAsia"/>
          <w:iCs/>
        </w:rPr>
      </w:pPr>
      <w:r>
        <w:rPr>
          <w:iCs/>
        </w:rPr>
        <w:t>Correlation sample</w:t>
      </w:r>
      <w:r w:rsidR="00973214">
        <w:rPr>
          <w:iCs/>
        </w:rPr>
        <w:t xml:space="preserve"> size</w:t>
      </w:r>
      <w:r>
        <w:rPr>
          <w:iCs/>
        </w:rPr>
        <w:t xml:space="preserve"> calculation</w:t>
      </w:r>
      <w:r w:rsidR="00973214">
        <w:rPr>
          <w:iCs/>
        </w:rPr>
        <w:t xml:space="preserve">s </w:t>
      </w:r>
      <w:r w:rsidR="00C82EDE">
        <w:rPr>
          <w:iCs/>
        </w:rPr>
        <w:t>assume b</w:t>
      </w:r>
      <w:r w:rsidR="00C82EDE">
        <w:rPr>
          <w:iCs/>
        </w:rPr>
        <w:t xml:space="preserve">ivariate normal </w:t>
      </w:r>
      <w:r w:rsidR="00C82EDE">
        <w:rPr>
          <w:iCs/>
        </w:rPr>
        <w:t xml:space="preserve">distributions, with </w:t>
      </w:r>
      <w:r w:rsidR="0082223A">
        <w:rPr>
          <w:iCs/>
        </w:rPr>
        <w:t xml:space="preserve">all </w:t>
      </w:r>
      <w:r w:rsidR="00973214">
        <w:rPr>
          <w:iCs/>
        </w:rPr>
        <w:t xml:space="preserve">computations </w:t>
      </w:r>
      <w:r w:rsidR="0082223A">
        <w:rPr>
          <w:iCs/>
        </w:rPr>
        <w:t>performed</w:t>
      </w:r>
      <w:r w:rsidR="00973214">
        <w:rPr>
          <w:iCs/>
        </w:rPr>
        <w:t xml:space="preserve"> after applying the Fisher transformation</w:t>
      </w:r>
      <w:r w:rsidR="001E17EE">
        <w:rPr>
          <w:iCs/>
        </w:rPr>
        <w:t>. That is,</w:t>
      </w:r>
      <w:r w:rsidR="00973214">
        <w:rPr>
          <w:iCs/>
        </w:rPr>
        <w:t xml:space="preserve"> correlation </w:t>
      </w:r>
      <m:oMath>
        <m:r>
          <w:rPr>
            <w:rFonts w:ascii="Cambria Math" w:hAnsi="Cambria Math"/>
          </w:rPr>
          <m:t>r</m:t>
        </m:r>
      </m:oMath>
      <w:r w:rsidR="00973214">
        <w:rPr>
          <w:i/>
        </w:rPr>
        <w:t xml:space="preserve"> </w:t>
      </w:r>
      <w:r w:rsidR="00973214">
        <w:rPr>
          <w:iCs/>
        </w:rPr>
        <w:t xml:space="preserve">is transformed to </w:t>
      </w:r>
      <w:r w:rsidR="0082223A">
        <w:rPr>
          <w:iCs/>
        </w:rPr>
        <w:t xml:space="preserve">the (approximately) normally distributed random variable </w:t>
      </w:r>
      <m:oMath>
        <m:r>
          <w:rPr>
            <w:rFonts w:ascii="Cambria Math" w:hAnsi="Cambria Math"/>
          </w:rPr>
          <m:t>z=</m:t>
        </m:r>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log</m:t>
        </m:r>
        <m:d>
          <m:dPr>
            <m:ctrlPr>
              <w:rPr>
                <w:rFonts w:ascii="Cambria Math" w:hAnsi="Cambria Math"/>
                <w:i/>
                <w:iCs/>
              </w:rPr>
            </m:ctrlPr>
          </m:dPr>
          <m:e>
            <m:f>
              <m:fPr>
                <m:ctrlPr>
                  <w:rPr>
                    <w:rFonts w:ascii="Cambria Math" w:hAnsi="Cambria Math"/>
                    <w:i/>
                    <w:iCs/>
                  </w:rPr>
                </m:ctrlPr>
              </m:fPr>
              <m:num>
                <m:r>
                  <w:rPr>
                    <w:rFonts w:ascii="Cambria Math" w:hAnsi="Cambria Math"/>
                  </w:rPr>
                  <m:t>1+r</m:t>
                </m:r>
              </m:num>
              <m:den>
                <m:r>
                  <w:rPr>
                    <w:rFonts w:ascii="Cambria Math" w:hAnsi="Cambria Math"/>
                  </w:rPr>
                  <m:t>1-r</m:t>
                </m:r>
              </m:den>
            </m:f>
          </m:e>
        </m:d>
      </m:oMath>
      <w:r w:rsidR="0082223A">
        <w:rPr>
          <w:iCs/>
        </w:rPr>
        <w:t xml:space="preserve"> </w:t>
      </w:r>
      <w:r>
        <w:rPr>
          <w:iCs/>
        </w:rPr>
        <w:t>that has</w:t>
      </w:r>
      <w:r w:rsidR="00973214">
        <w:rPr>
          <w:iCs/>
        </w:rPr>
        <w:t xml:space="preserve"> standard error </w:t>
      </w:r>
      <m:oMath>
        <m:r>
          <m:rPr>
            <m:sty m:val="p"/>
          </m:rPr>
          <w:rPr>
            <w:rFonts w:ascii="Cambria Math" w:hAnsi="Cambria Math"/>
          </w:rPr>
          <m:t>SE</m:t>
        </m:r>
        <m:r>
          <w:rPr>
            <w:rFonts w:ascii="Cambria Math" w:hAnsi="Cambria Math"/>
          </w:rPr>
          <m:t>=1/</m:t>
        </m:r>
        <m:rad>
          <m:radPr>
            <m:degHide m:val="1"/>
            <m:ctrlPr>
              <w:rPr>
                <w:rFonts w:ascii="Cambria Math" w:hAnsi="Cambria Math"/>
                <w:i/>
                <w:iCs/>
              </w:rPr>
            </m:ctrlPr>
          </m:radPr>
          <m:deg/>
          <m:e>
            <m:r>
              <w:rPr>
                <w:rFonts w:ascii="Cambria Math" w:hAnsi="Cambria Math"/>
              </w:rPr>
              <m:t>n-3</m:t>
            </m:r>
          </m:e>
        </m:rad>
      </m:oMath>
      <w:r w:rsidR="003C5A5C">
        <w:rPr>
          <w:rFonts w:eastAsiaTheme="minorEastAsia"/>
          <w:iCs/>
        </w:rPr>
        <w:t xml:space="preserve">. </w:t>
      </w:r>
      <w:r w:rsidR="001E17EE">
        <w:rPr>
          <w:rFonts w:eastAsiaTheme="minorEastAsia"/>
          <w:iCs/>
        </w:rPr>
        <w:t xml:space="preserve"> </w:t>
      </w:r>
      <w:r w:rsidR="003C5A5C">
        <w:rPr>
          <w:rFonts w:eastAsiaTheme="minorEastAsia"/>
          <w:iCs/>
        </w:rPr>
        <w:t xml:space="preserve">The equations </w:t>
      </w:r>
      <w:r w:rsidR="006E7347">
        <w:rPr>
          <w:rFonts w:eastAsiaTheme="minorEastAsia"/>
          <w:iCs/>
        </w:rPr>
        <w:t>discussed earlier</w:t>
      </w:r>
      <w:r w:rsidR="003C5A5C">
        <w:rPr>
          <w:rFonts w:eastAsiaTheme="minorEastAsia"/>
          <w:iCs/>
        </w:rPr>
        <w:t xml:space="preserve"> </w:t>
      </w:r>
      <w:r w:rsidR="00996B58">
        <w:rPr>
          <w:rFonts w:eastAsiaTheme="minorEastAsia"/>
          <w:iCs/>
        </w:rPr>
        <w:t>are</w:t>
      </w:r>
      <w:r w:rsidR="003C5A5C">
        <w:rPr>
          <w:rFonts w:eastAsiaTheme="minorEastAsia"/>
          <w:iCs/>
        </w:rPr>
        <w:t xml:space="preserve"> applied</w:t>
      </w:r>
      <w:r w:rsidR="00996B58">
        <w:rPr>
          <w:rFonts w:eastAsiaTheme="minorEastAsia"/>
          <w:iCs/>
        </w:rPr>
        <w:t xml:space="preserve"> with this SE and with </w:t>
      </w:r>
      <w:r w:rsidR="00996B58">
        <w:rPr>
          <w:iCs/>
        </w:rPr>
        <w:t xml:space="preserve">the </w:t>
      </w:r>
      <w:r w:rsidR="00996B58">
        <w:rPr>
          <w:iCs/>
        </w:rPr>
        <w:t>normal distribution approximated by</w:t>
      </w:r>
      <w:r w:rsidR="00996B58">
        <w:rPr>
          <w:iCs/>
        </w:rPr>
        <w:t xml:space="preserve"> a</w:t>
      </w:r>
      <w:r w:rsidR="00996B58">
        <w:rPr>
          <w:iCs/>
        </w:rPr>
        <w:t xml:space="preserve"> </w:t>
      </w:r>
      <w:r w:rsidR="00996B58" w:rsidRPr="003C5A5C">
        <w:rPr>
          <w:i/>
        </w:rPr>
        <w:t>t</w:t>
      </w:r>
      <w:r w:rsidR="00996B58">
        <w:rPr>
          <w:iCs/>
        </w:rPr>
        <w:t xml:space="preserve">-distribution with </w:t>
      </w:r>
      <w:r w:rsidR="00996B58">
        <w:rPr>
          <w:i/>
        </w:rPr>
        <w:t xml:space="preserve">k  </w:t>
      </w:r>
      <w:r w:rsidR="00996B58">
        <w:rPr>
          <w:iCs/>
        </w:rPr>
        <w:t>= 500.</w:t>
      </w:r>
      <w:r w:rsidR="006E7347">
        <w:rPr>
          <w:rFonts w:eastAsiaTheme="minorEastAsia"/>
          <w:iCs/>
        </w:rPr>
        <w:t xml:space="preserve"> For</w:t>
      </w:r>
      <w:r w:rsidR="00CD031A">
        <w:rPr>
          <w:rFonts w:eastAsiaTheme="minorEastAsia"/>
          <w:iCs/>
        </w:rPr>
        <w:t xml:space="preserve"> example, </w:t>
      </w:r>
      <w:r w:rsidR="006E7347">
        <w:rPr>
          <w:rFonts w:eastAsiaTheme="minorEastAsia"/>
          <w:iCs/>
        </w:rPr>
        <w:t>using</w:t>
      </w:r>
      <w:r w:rsidR="00CD031A">
        <w:rPr>
          <w:rFonts w:eastAsiaTheme="minorEastAsia"/>
          <w:iCs/>
        </w:rPr>
        <w:t xml:space="preserve"> </w:t>
      </w:r>
      <w:r w:rsidR="00CD031A" w:rsidRPr="00DD54B8">
        <w:rPr>
          <w:iCs/>
        </w:rPr>
        <w:t>(2)</w:t>
      </w:r>
      <w:r w:rsidR="006E7347">
        <w:rPr>
          <w:iCs/>
        </w:rPr>
        <w:t>,</w:t>
      </w:r>
      <w:r w:rsidR="00CD031A" w:rsidRPr="00DD54B8">
        <w:rPr>
          <w:iCs/>
        </w:rPr>
        <w:t xml:space="preserve"> </w:t>
      </w:r>
      <w:r w:rsidR="00CD031A">
        <w:rPr>
          <w:iCs/>
        </w:rPr>
        <w:t xml:space="preserve">the sample size </w:t>
      </w:r>
      <w:r w:rsidR="006E7347">
        <w:rPr>
          <w:i/>
        </w:rPr>
        <w:t xml:space="preserve">n </w:t>
      </w:r>
      <w:r w:rsidR="0082223A">
        <w:rPr>
          <w:iCs/>
        </w:rPr>
        <w:t>required</w:t>
      </w:r>
      <w:r w:rsidR="00CD031A">
        <w:rPr>
          <w:iCs/>
        </w:rPr>
        <w:t xml:space="preserve"> to test </w:t>
      </w:r>
      <w:r w:rsidR="0082223A">
        <w:rPr>
          <w:iCs/>
        </w:rPr>
        <w:t>that</w:t>
      </w:r>
      <w:r w:rsidR="00CD031A">
        <w:rPr>
          <w:iCs/>
        </w:rPr>
        <w:t xml:space="preserve"> a correlation is greater than margin </w:t>
      </w:r>
      <w:r w:rsidR="00CD031A" w:rsidRPr="00CD031A">
        <w:rPr>
          <w:rFonts w:cs="Times New Roman"/>
          <w:i/>
        </w:rPr>
        <w:t>Δ</w:t>
      </w:r>
      <w:r w:rsidR="00CD031A" w:rsidRPr="00CD031A">
        <w:rPr>
          <w:i/>
        </w:rPr>
        <w:t xml:space="preserve"> </w:t>
      </w:r>
      <w:r w:rsidR="006E7347">
        <w:rPr>
          <w:iCs/>
        </w:rPr>
        <w:t>given</w:t>
      </w:r>
      <w:r w:rsidR="00CD031A">
        <w:rPr>
          <w:iCs/>
        </w:rPr>
        <w:t xml:space="preserve"> anticipated correlation</w:t>
      </w:r>
      <w:r w:rsidR="0082223A">
        <w:rPr>
          <w:iCs/>
        </w:rPr>
        <w:t xml:space="preserve"> </w:t>
      </w:r>
      <m:oMath>
        <m:r>
          <w:rPr>
            <w:rFonts w:ascii="Cambria Math" w:hAnsi="Cambria Math"/>
          </w:rPr>
          <m:t>r'</m:t>
        </m:r>
      </m:oMath>
      <w:r w:rsidR="00CD031A">
        <w:rPr>
          <w:i/>
        </w:rPr>
        <w:t xml:space="preserve"> </w:t>
      </w:r>
      <w:r w:rsidR="006E7347">
        <w:rPr>
          <w:iCs/>
        </w:rPr>
        <w:t>is calculated to be</w:t>
      </w:r>
    </w:p>
    <w:p w14:paraId="623C6DE5" w14:textId="1CB71F9C" w:rsidR="00CD031A" w:rsidRDefault="006E7347" w:rsidP="00A470A7">
      <w:pPr>
        <w:spacing w:line="360" w:lineRule="auto"/>
        <w:ind w:firstLine="567"/>
        <w:rPr>
          <w:rFonts w:eastAsiaTheme="minorEastAsia"/>
          <w:iCs/>
        </w:rPr>
      </w:pPr>
      <m:oMath>
        <m:r>
          <w:rPr>
            <w:rFonts w:ascii="Cambria Math" w:hAnsi="Cambria Math"/>
          </w:rPr>
          <m:t xml:space="preserve">                  </m:t>
        </m:r>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500</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500</m:t>
                        </m:r>
                      </m:sub>
                    </m:sSub>
                    <m:d>
                      <m:dPr>
                        <m:ctrlPr>
                          <w:rPr>
                            <w:rFonts w:ascii="Cambria Math" w:hAnsi="Cambria Math"/>
                            <w:i/>
                          </w:rPr>
                        </m:ctrlPr>
                      </m:dPr>
                      <m:e>
                        <m:r>
                          <w:rPr>
                            <w:rFonts w:ascii="Cambria Math" w:hAnsi="Cambria Math"/>
                          </w:rPr>
                          <m:t>α</m:t>
                        </m:r>
                      </m:e>
                    </m:d>
                  </m:num>
                  <m:den>
                    <m:r>
                      <w:rPr>
                        <w:rFonts w:ascii="Cambria Math" w:hAnsi="Cambria Math"/>
                      </w:rPr>
                      <m:t>Δ-</m:t>
                    </m:r>
                    <m:r>
                      <w:rPr>
                        <w:rFonts w:ascii="Cambria Math" w:hAnsi="Cambria Math"/>
                      </w:rPr>
                      <m:t>m</m:t>
                    </m:r>
                  </m:den>
                </m:f>
              </m:e>
            </m:d>
          </m:e>
          <m:sup>
            <m:r>
              <w:rPr>
                <w:rFonts w:ascii="Cambria Math" w:hAnsi="Cambria Math"/>
              </w:rPr>
              <m:t>2</m:t>
            </m:r>
          </m:sup>
        </m:sSup>
        <m:r>
          <w:rPr>
            <w:rFonts w:ascii="Cambria Math" w:hAnsi="Cambria Math"/>
          </w:rPr>
          <m:t>+3</m:t>
        </m:r>
      </m:oMath>
      <w:r>
        <w:rPr>
          <w:rFonts w:eastAsiaTheme="minorEastAsia"/>
          <w:iCs/>
        </w:rPr>
        <w:t>,</w:t>
      </w:r>
      <w:r w:rsidR="003C5A5C">
        <w:rPr>
          <w:rFonts w:eastAsiaTheme="minorEastAsia"/>
          <w:iCs/>
        </w:rPr>
        <w:t xml:space="preserve"> </w:t>
      </w:r>
      <w:r w:rsidR="00996B58">
        <w:rPr>
          <w:rFonts w:eastAsiaTheme="minorEastAsia"/>
          <w:iCs/>
        </w:rPr>
        <w:t>where</w:t>
      </w:r>
      <w:r>
        <w:rPr>
          <w:rFonts w:eastAsiaTheme="minorEastAsia"/>
          <w:iCs/>
        </w:rPr>
        <w:t xml:space="preserve"> </w:t>
      </w:r>
      <m:oMath>
        <m:r>
          <w:rPr>
            <w:rFonts w:ascii="Cambria Math" w:eastAsiaTheme="minorEastAsia" w:hAnsi="Cambria Math"/>
          </w:rPr>
          <m:t>m</m:t>
        </m:r>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log</m:t>
        </m:r>
        <m:d>
          <m:dPr>
            <m:ctrlPr>
              <w:rPr>
                <w:rFonts w:ascii="Cambria Math" w:hAnsi="Cambria Math"/>
                <w:i/>
                <w:iCs/>
              </w:rPr>
            </m:ctrlPr>
          </m:dPr>
          <m:e>
            <m:f>
              <m:fPr>
                <m:ctrlPr>
                  <w:rPr>
                    <w:rFonts w:ascii="Cambria Math" w:hAnsi="Cambria Math"/>
                    <w:i/>
                    <w:iCs/>
                  </w:rPr>
                </m:ctrlPr>
              </m:fPr>
              <m:num>
                <m:r>
                  <w:rPr>
                    <w:rFonts w:ascii="Cambria Math" w:hAnsi="Cambria Math"/>
                  </w:rPr>
                  <m:t>1+r</m:t>
                </m:r>
                <m:r>
                  <w:rPr>
                    <w:rFonts w:ascii="Cambria Math" w:hAnsi="Cambria Math"/>
                  </w:rPr>
                  <m:t>'</m:t>
                </m:r>
              </m:num>
              <m:den>
                <m:r>
                  <w:rPr>
                    <w:rFonts w:ascii="Cambria Math" w:hAnsi="Cambria Math"/>
                  </w:rPr>
                  <m:t>1-r</m:t>
                </m:r>
                <m:r>
                  <w:rPr>
                    <w:rFonts w:ascii="Cambria Math" w:hAnsi="Cambria Math"/>
                  </w:rPr>
                  <m:t>'</m:t>
                </m:r>
              </m:den>
            </m:f>
          </m:e>
        </m:d>
      </m:oMath>
      <w:r>
        <w:rPr>
          <w:iCs/>
        </w:rPr>
        <w:t>.</w:t>
      </w:r>
    </w:p>
    <w:p w14:paraId="7A8247E5" w14:textId="75DE0F4E" w:rsidR="00351EF9" w:rsidRPr="00351EF9" w:rsidRDefault="003C5A5C" w:rsidP="00CD031A">
      <w:pPr>
        <w:spacing w:line="360" w:lineRule="auto"/>
        <w:rPr>
          <w:iCs/>
        </w:rPr>
      </w:pPr>
      <w:r>
        <w:rPr>
          <w:rFonts w:eastAsiaTheme="minorEastAsia"/>
          <w:iCs/>
        </w:rPr>
        <w:t xml:space="preserve">Note that the </w:t>
      </w:r>
      <w:r w:rsidR="0082223A">
        <w:rPr>
          <w:rFonts w:eastAsiaTheme="minorEastAsia"/>
          <w:iCs/>
        </w:rPr>
        <w:t xml:space="preserve">app </w:t>
      </w:r>
      <w:r w:rsidR="0082223A">
        <w:rPr>
          <w:i/>
        </w:rPr>
        <w:t>meraglim</w:t>
      </w:r>
      <w:r w:rsidR="0082223A" w:rsidRPr="000334E9">
        <w:rPr>
          <w:i/>
        </w:rPr>
        <w:t>.shinyapp</w:t>
      </w:r>
      <w:r w:rsidR="0082223A">
        <w:rPr>
          <w:i/>
        </w:rPr>
        <w:t>s</w:t>
      </w:r>
      <w:r w:rsidR="0082223A" w:rsidRPr="000334E9">
        <w:rPr>
          <w:i/>
        </w:rPr>
        <w:t>.io/</w:t>
      </w:r>
      <w:proofErr w:type="spellStart"/>
      <w:r w:rsidR="0082223A">
        <w:rPr>
          <w:i/>
        </w:rPr>
        <w:t>genSSize</w:t>
      </w:r>
      <w:proofErr w:type="spellEnd"/>
      <w:r w:rsidR="0082223A">
        <w:rPr>
          <w:iCs/>
        </w:rPr>
        <w:t xml:space="preserve"> presents results</w:t>
      </w:r>
      <w:r w:rsidR="0082223A">
        <w:rPr>
          <w:iCs/>
        </w:rPr>
        <w:t xml:space="preserve"> </w:t>
      </w:r>
      <w:r>
        <w:rPr>
          <w:rFonts w:eastAsiaTheme="minorEastAsia"/>
          <w:iCs/>
        </w:rPr>
        <w:t>in terms of correlations</w:t>
      </w:r>
      <w:r w:rsidR="0082223A">
        <w:rPr>
          <w:rFonts w:eastAsiaTheme="minorEastAsia"/>
          <w:iCs/>
        </w:rPr>
        <w:t>. It achieves this by applying</w:t>
      </w:r>
      <w:r>
        <w:rPr>
          <w:rFonts w:eastAsiaTheme="minorEastAsia"/>
          <w:iCs/>
        </w:rPr>
        <w:t xml:space="preserve"> the inverse transformation</w:t>
      </w:r>
      <w:r w:rsidR="00996B58">
        <w:rPr>
          <w:rFonts w:eastAsiaTheme="minorEastAsia"/>
          <w:iCs/>
        </w:rPr>
        <w:t xml:space="preserve"> </w:t>
      </w:r>
      <m:oMath>
        <m:r>
          <w:rPr>
            <w:rFonts w:ascii="Cambria Math" w:eastAsiaTheme="minorEastAsia" w:hAnsi="Cambria Math"/>
          </w:rPr>
          <m:t>r</m:t>
        </m:r>
        <m:r>
          <w:rPr>
            <w:rFonts w:ascii="Cambria Math" w:hAnsi="Cambria Math"/>
          </w:rPr>
          <m:t xml:space="preserve">= </m:t>
        </m:r>
        <m:f>
          <m:fPr>
            <m:ctrlPr>
              <w:rPr>
                <w:rFonts w:ascii="Cambria Math" w:hAnsi="Cambria Math"/>
                <w:i/>
                <w:iCs/>
              </w:rPr>
            </m:ctrlPr>
          </m:fPr>
          <m:num>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2z</m:t>
                    </m:r>
                  </m:e>
                </m:d>
              </m:e>
            </m:func>
            <m:r>
              <w:rPr>
                <w:rFonts w:ascii="Cambria Math" w:hAnsi="Cambria Math"/>
              </w:rPr>
              <m:t>-1</m:t>
            </m:r>
          </m:num>
          <m:den>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2z</m:t>
                    </m:r>
                  </m:e>
                </m:d>
              </m:e>
            </m:func>
            <m:r>
              <w:rPr>
                <w:rFonts w:ascii="Cambria Math" w:hAnsi="Cambria Math"/>
              </w:rPr>
              <m:t>+1</m:t>
            </m:r>
          </m:den>
        </m:f>
      </m:oMath>
      <w:r>
        <w:rPr>
          <w:rFonts w:eastAsiaTheme="minorEastAsia"/>
          <w:iCs/>
        </w:rPr>
        <w:t xml:space="preserve"> to the labels on the horizontal axis</w:t>
      </w:r>
      <w:r w:rsidR="00CD031A">
        <w:rPr>
          <w:rFonts w:eastAsiaTheme="minorEastAsia"/>
          <w:iCs/>
        </w:rPr>
        <w:t xml:space="preserve"> of the plot</w:t>
      </w:r>
      <w:r w:rsidR="006E7347">
        <w:rPr>
          <w:rFonts w:eastAsiaTheme="minorEastAsia"/>
          <w:iCs/>
        </w:rPr>
        <w:t xml:space="preserve"> and</w:t>
      </w:r>
      <w:r w:rsidR="00CD031A">
        <w:rPr>
          <w:rFonts w:eastAsiaTheme="minorEastAsia"/>
          <w:iCs/>
        </w:rPr>
        <w:t xml:space="preserve"> </w:t>
      </w:r>
      <w:r>
        <w:rPr>
          <w:rFonts w:eastAsiaTheme="minorEastAsia"/>
          <w:iCs/>
        </w:rPr>
        <w:t xml:space="preserve">to the horizontal </w:t>
      </w:r>
      <w:r w:rsidR="00CD031A">
        <w:rPr>
          <w:rFonts w:eastAsiaTheme="minorEastAsia"/>
          <w:iCs/>
        </w:rPr>
        <w:t>co-ordinate</w:t>
      </w:r>
      <w:r>
        <w:rPr>
          <w:rFonts w:eastAsiaTheme="minorEastAsia"/>
          <w:iCs/>
        </w:rPr>
        <w:t xml:space="preserve"> of positions obtained by clicking</w:t>
      </w:r>
      <w:r w:rsidR="00CD031A">
        <w:rPr>
          <w:rFonts w:eastAsiaTheme="minorEastAsia"/>
          <w:iCs/>
        </w:rPr>
        <w:t xml:space="preserve"> on the plot</w:t>
      </w:r>
      <w:r>
        <w:rPr>
          <w:rFonts w:eastAsiaTheme="minorEastAsia"/>
          <w:iCs/>
        </w:rPr>
        <w:t xml:space="preserve">.     </w:t>
      </w:r>
    </w:p>
    <w:p w14:paraId="52C94D17" w14:textId="77777777" w:rsidR="0079670D" w:rsidRDefault="0079670D" w:rsidP="0079670D">
      <w:pPr>
        <w:pStyle w:val="Heading1"/>
      </w:pPr>
      <w:r>
        <w:t>References:</w:t>
      </w:r>
    </w:p>
    <w:p w14:paraId="4D93708B" w14:textId="0C00FAFC" w:rsidR="0079670D" w:rsidRPr="00C57431" w:rsidRDefault="0079670D" w:rsidP="0079670D">
      <w:pPr>
        <w:spacing w:line="360" w:lineRule="auto"/>
        <w:rPr>
          <w:iCs/>
        </w:rPr>
      </w:pPr>
      <w:r w:rsidRPr="00EF6A35">
        <w:rPr>
          <w:iCs/>
        </w:rPr>
        <w:t xml:space="preserve">Shieh G. Exact power and sample size calculations for the two one-sided tests of equivalence. </w:t>
      </w:r>
      <w:proofErr w:type="spellStart"/>
      <w:r w:rsidRPr="00EF6A35">
        <w:rPr>
          <w:iCs/>
        </w:rPr>
        <w:t>PLoS</w:t>
      </w:r>
      <w:proofErr w:type="spellEnd"/>
      <w:r w:rsidRPr="00EF6A35">
        <w:rPr>
          <w:iCs/>
        </w:rPr>
        <w:t xml:space="preserve"> ONE. 2016; 11(9): e0162093.</w:t>
      </w:r>
    </w:p>
    <w:sectPr w:rsidR="0079670D" w:rsidRPr="00C57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70D"/>
    <w:rsid w:val="001E17EE"/>
    <w:rsid w:val="00274A22"/>
    <w:rsid w:val="00351EF9"/>
    <w:rsid w:val="00385B7F"/>
    <w:rsid w:val="003C5A5C"/>
    <w:rsid w:val="00561E7A"/>
    <w:rsid w:val="006E7347"/>
    <w:rsid w:val="006F0356"/>
    <w:rsid w:val="007863CB"/>
    <w:rsid w:val="0079670D"/>
    <w:rsid w:val="007C7793"/>
    <w:rsid w:val="0082223A"/>
    <w:rsid w:val="008453BB"/>
    <w:rsid w:val="00926E23"/>
    <w:rsid w:val="00973214"/>
    <w:rsid w:val="00996B58"/>
    <w:rsid w:val="009E1D14"/>
    <w:rsid w:val="00A470A7"/>
    <w:rsid w:val="00A67B35"/>
    <w:rsid w:val="00C57431"/>
    <w:rsid w:val="00C82EDE"/>
    <w:rsid w:val="00CD031A"/>
    <w:rsid w:val="00DA35D9"/>
    <w:rsid w:val="00DE5B9B"/>
    <w:rsid w:val="00FF40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B9CE"/>
  <w15:docId w15:val="{BFF7F327-B24D-49C3-BF52-D2D8CB8C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0D"/>
    <w:rPr>
      <w:rFonts w:ascii="Times New Roman" w:hAnsi="Times New Roman"/>
    </w:rPr>
  </w:style>
  <w:style w:type="paragraph" w:styleId="Heading1">
    <w:name w:val="heading 1"/>
    <w:basedOn w:val="Normal"/>
    <w:next w:val="Normal"/>
    <w:link w:val="Heading1Char"/>
    <w:qFormat/>
    <w:rsid w:val="0079670D"/>
    <w:pPr>
      <w:keepNext/>
      <w:spacing w:before="360" w:after="60" w:line="360" w:lineRule="auto"/>
      <w:ind w:right="567" w:firstLine="567"/>
      <w:contextualSpacing/>
      <w:outlineLvl w:val="0"/>
    </w:pPr>
    <w:rPr>
      <w:rFonts w:eastAsia="Times New Roman" w:cs="Arial"/>
      <w:b/>
      <w:bCs/>
      <w:kern w:val="32"/>
      <w:sz w:val="24"/>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70D"/>
    <w:rPr>
      <w:rFonts w:ascii="Times New Roman" w:eastAsia="Times New Roman" w:hAnsi="Times New Roman" w:cs="Arial"/>
      <w:b/>
      <w:bCs/>
      <w:kern w:val="32"/>
      <w:sz w:val="24"/>
      <w:szCs w:val="32"/>
      <w:lang w:val="en-GB" w:eastAsia="en-GB"/>
    </w:rPr>
  </w:style>
  <w:style w:type="paragraph" w:customStyle="1" w:styleId="Articletitle">
    <w:name w:val="Article title"/>
    <w:basedOn w:val="Normal"/>
    <w:next w:val="Normal"/>
    <w:qFormat/>
    <w:rsid w:val="0079670D"/>
    <w:pPr>
      <w:spacing w:after="120" w:line="360" w:lineRule="auto"/>
      <w:ind w:firstLine="567"/>
    </w:pPr>
    <w:rPr>
      <w:rFonts w:eastAsia="Times New Roman" w:cs="Times New Roman"/>
      <w:b/>
      <w:sz w:val="28"/>
      <w:szCs w:val="24"/>
      <w:lang w:val="en-GB" w:eastAsia="en-GB"/>
    </w:rPr>
  </w:style>
  <w:style w:type="character" w:styleId="PlaceholderText">
    <w:name w:val="Placeholder Text"/>
    <w:basedOn w:val="DefaultParagraphFont"/>
    <w:uiPriority w:val="99"/>
    <w:semiHidden/>
    <w:rsid w:val="00FF40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Aisbett</dc:creator>
  <cp:keywords/>
  <dc:description/>
  <cp:lastModifiedBy>Janet Aisbett</cp:lastModifiedBy>
  <cp:revision>3</cp:revision>
  <cp:lastPrinted>2021-10-01T01:20:00Z</cp:lastPrinted>
  <dcterms:created xsi:type="dcterms:W3CDTF">2022-02-18T05:38:00Z</dcterms:created>
  <dcterms:modified xsi:type="dcterms:W3CDTF">2022-02-18T08:59:00Z</dcterms:modified>
</cp:coreProperties>
</file>