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CodeBook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代码世界的通用翻译层</w:t>
      </w:r>
    </w:p>
    <w:p>
      <w:pPr>
        <w:pBdr>
          <w:bottom w:val="single" w:color="4BACC6" w:sz="6" w:space="1"/>
        </w:pBdr>
        <w:spacing w:after="6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产品战略讨论纪要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2026年3月22日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Jacky × Claude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产品愿景与定位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ACC6" w:sz="2"/>
              <w:left w:val="single" w:color="4BACC6" w:sz="6"/>
              <w:bottom w:val="single" w:color="4BACC6" w:sz="2"/>
              <w:right w:val="single" w:color="4BACC6" w:sz="2"/>
            </w:tcBorders>
            <w:shd w:fill="EB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40"/>
            </w:pPr>
            <w:r>
              <w:rPr>
                <w:rFonts w:ascii="Arial" w:cs="Arial" w:eastAsia="Arial" w:hAnsi="Arial"/>
                <w:color w:val="1B3A5C"/>
                <w:sz w:val="21"/>
                <w:szCs w:val="21"/>
              </w:rPr>
              <w:t xml:space="preserve">CodeBook 不是一个文档工具，它是代码世界的通用翻译层——</w:t>
            </w:r>
          </w:p>
          <w:p>
            <w:pPr>
              <w:spacing w:after="100" w:line="340"/>
            </w:pPr>
            <w:r>
              <w:rPr>
                <w:rFonts w:ascii="Arial" w:cs="Arial" w:eastAsia="Arial" w:hAnsi="Arial"/>
                <w:color w:val="1B3A5C"/>
                <w:sz w:val="21"/>
                <w:szCs w:val="21"/>
              </w:rPr>
              <w:t xml:space="preserve">向上对接不懂代码的业务专家，向下嵌入开发者工作流，</w:t>
            </w:r>
          </w:p>
          <w:p>
            <w:pPr>
              <w:spacing w:after="100" w:line="340"/>
            </w:pPr>
            <w:r>
              <w:rPr>
                <w:rFonts w:ascii="Arial" w:cs="Arial" w:eastAsia="Arial" w:hAnsi="Arial"/>
                <w:color w:val="1B3A5C"/>
                <w:sz w:val="21"/>
                <w:szCs w:val="21"/>
              </w:rPr>
              <w:t xml:space="preserve">中间靠持续积累的行业语义数据构建壁垒。</w:t>
            </w:r>
          </w:p>
        </w:tc>
      </w:tr>
    </w:tbl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CodeBook 的终极目标是让所有开发者都需要它。这意味着产品不能只做“代码文档生成”，而是要成为代码语义与业务语义之间的标准翻译协议。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四类核心用户与痛点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开发者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接手新项目、Review 陌生模块、新人 Onboard 时，大量时间花在“理解意图”而非“理解语法”。上下文切换成本是开发者最大的隐性时间浪费。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管理层（CTO / PM）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PM 问“这个功能改动影响多大”，开发者要花 30 分钟解释架构依赖。跨角色沟通断层导致决策效率低下。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行业专家（最关键的新增用户群）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他们懂业务逻辑，知道需求点，但不懂开发。医疗专家无法验证诊断规则是否被正确实现，金融风控专家看不懂代码里的边界条件是否符合监管要求。他们有判断力，但缺少观察窗口。CodeBook 要做的就是给他们这个窗口。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QA / 运维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代码库腐化的不可见性，技术债、架构偏移、逻辑冗余，没有人能一眼看出全局。变更影响范围不清晰导致线上事故。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核心架构思路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技术管道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整个系统的核心是一个工程管道，而非自训练模型：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1"/>
            </w:tcBorders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代码解析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Tree-sitter AST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EBF2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结构化分块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依赖图构建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LLM 翻译层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角色 Context 注入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2"/>
            </w:tcBorders>
            <w:shd w:fill="EBF2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自适应输出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多角色动态生成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多角色动态视图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多角色视图不是预设模板，而是引擎根据项目领域 + 查看者身份动态生成。同一段代码：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金融风控人员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“这里实现了反洗钱阈值判断”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开发者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“函数调用链和边界条件”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“模块依赖和性能瓶颈”</w:t>
            </w:r>
          </w:p>
        </w:tc>
      </w:tr>
    </w:tbl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角色适配的质量直接取决于数据飞轮的深度——引擎见过越多金融代码库，就越能用金融术语翻译；见过越多医疗系统，就越能对齐临床逻辑。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数据安全与商业策略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核心原则：不脱敏代码，脱敏数据通道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代码脱敏会严重影响翻译质量。变量名、函数名、类名、注释承载了大量语义信息，把 calculateRiskWeightedAsset 脱敏成 funcA，模型就丢失了关键线索。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解决方案不是脱敏代码，而是保障数据通道的安全性。用户真正担心的不是“代码被 LLM 看到”，而是“代码被第三方存储”。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责任边界：管道模式优先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CodeBook 不为第三方 LLM 的数据安全担责。早期采用管道模式：用户本地解析 + 自带 API Key，CodeBook 只提供解析引擎和 Prompt 模板，不触碰用户数据。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分层服务模型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用户类型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个人 / 开发者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管道模式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自带 API Key，代码不经 CodeBook 服务器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企业用户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平台模式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CodeBook 与 LLM 提供商签企业级数据协议，零数据保留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高安全客户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本地部署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全部本地运行，使用本地模型，数据不出内网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数据飞轮双引擎策略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客户侧沉淀（被动积累）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每个接入的代码库都在为引擎贡献“代码模式 → 业务语义”的映射数据。不同行业、不同架构风格、不同语言的代码库越多，翻译精度越高。飞轮数据不依赖源码，而是脱敏的结构模式（AST 拓扑、设计模式识别、架构图谱）+ 用户翻译反馈。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自研侧迭代（主动探索）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我们自己用 CodeBook 解析开源项目——Linux 内核、Kubernetes、UE5 源码、主流框架。每次解析都是一次压力测试，同时解析结果本身就是内容资产——“用自然语言读懂 Kubernetes 架构”这种内容自带传播力。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双引擎互喝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自研侧发现的问题驱动引擎升级，升级后的引擎让客户侧体验更好，客户侧的多样性数据又暴露新问题，推动下一轮自研迭代。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产品分发三阶段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阶段一：MCP 插件先行验证引擎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MCP 是给 AI 用的接口，不是给人用的界面。但对开发者来说，这是最低成本的切入点——在 Cursor / Claude Desktop 里直接问“解释一下这个项目的支付模块”。开发成本最低，不需要做前端，全部精力砖在翻译质量上。MCP 的好处是逼你只关注引擎，因为界面是别人的。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阶段二：Web 平台扩展用户群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行业专家和管理层不会用 Cursor。他们需要一个能直接打开、直接看懂的界面——这就是蓝图节点图、可视化架构导航的家。连接 Git 仓库，生成可浏览的“代码纪录片”。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阶段三：CI/CD 集成锁定团队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每次 git push 自动生成/更新文档，变成团队基础设施。一旦嵌入 pipeline，极难被替换。每次 commit 后 CodeBook 自动告诉你“这次改动影响了什么、破坏了什么、偏离了什么”。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MVP 执行节奏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关键交付物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第 1-4 周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MCP Server MVP，单语言支持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函数级 / 文件级翻译，跑通完整管道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第 5-8 周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项目级理解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跨文件依赖图、模块间关系（翻译质量分水岭）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第 9-12 周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多角色 Prompt 系统上线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 平台基础版本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第 13 周+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CI/CD 集成 + 数据飞轮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自动化文档更新、反馈循环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关键决策记录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已确认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不训练自有模型，依赖大语言模型能力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多角色视图 = 引擎动态生成，非预设模板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早期管道模式，不碰用户数据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不为第三方 LLM 数据安全担责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数据飞轮双引擎：客户沉淀 + 自研迭代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MCP 先行 → Web 平台 → CI/CD 集成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待深入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MCP MVP 的具体技术选型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业务专家视图的交互设计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数据飞轮的冷启动策略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定价与商业模型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开源项目解析的优先级排序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与现有 20 周甘特图的融合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jc w:val="center"/>
    </w:pPr>
    <w:r>
      <w:rPr>
        <w:rFonts w:ascii="Arial" w:cs="Arial" w:eastAsia="Arial" w:hAnsi="Arial"/>
        <w:color w:val="CCCCCC"/>
        <w:sz w:val="16"/>
        <w:szCs w:val="16"/>
      </w:rPr>
      <w:t xml:space="preserve">Confidential · Jacky × Claude · 2026.03.22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1"/>
      </w:pBdr>
      <w:jc w:val="right"/>
    </w:pPr>
    <w:r>
      <w:rPr>
        <w:rFonts w:ascii="Arial" w:cs="Arial" w:eastAsia="Arial" w:hAnsi="Arial"/>
        <w:color w:val="CCCCCC"/>
        <w:sz w:val="16"/>
        <w:szCs w:val="16"/>
      </w:rPr>
      <w:t xml:space="preserve">CodeBook 产品战略讨论纪要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2026-03-22T14:29:10.153Z</dcterms:created>
  <dcterms:modified xsi:type="dcterms:W3CDTF">2026-03-22T14:29:10.154Z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