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ascii="Times New Roman" w:hAnsi="Times New Roman"/>
          <w:b/>
          <w:sz w:val="28"/>
        </w:rPr>
        <w:t>Analisis Exploratorio y Tratamiento Avanzado de Datos</w:t>
        <w:br/>
        <w:t>sobre el Dataset Heart Disease (UCI)</w:t>
      </w:r>
    </w:p>
    <w:p/>
    <w:p/>
    <w:p>
      <w:pPr>
        <w:ind w:firstLine="0"/>
        <w:jc w:val="center"/>
      </w:pPr>
      <w:r>
        <w:rPr>
          <w:rFonts w:ascii="Times New Roman" w:hAnsi="Times New Roman"/>
          <w:sz w:val="24"/>
        </w:rPr>
        <w:t>Jaime Alzate</w:t>
      </w:r>
    </w:p>
    <w:p>
      <w:pPr>
        <w:ind w:firstLine="0"/>
        <w:jc w:val="center"/>
      </w:pPr>
      <w:r>
        <w:rPr>
          <w:rFonts w:ascii="Times New Roman" w:hAnsi="Times New Roman"/>
          <w:sz w:val="24"/>
        </w:rPr>
      </w:r>
    </w:p>
    <w:p>
      <w:pPr>
        <w:ind w:firstLine="0"/>
        <w:jc w:val="center"/>
      </w:pPr>
      <w:r>
        <w:rPr>
          <w:rFonts w:ascii="Times New Roman" w:hAnsi="Times New Roman"/>
          <w:sz w:val="24"/>
        </w:rPr>
        <w:t>Programa de Desarrollo de Software, Noveno Semestre</w:t>
      </w:r>
    </w:p>
    <w:p>
      <w:pPr>
        <w:ind w:firstLine="0"/>
        <w:jc w:val="center"/>
      </w:pPr>
      <w:r>
        <w:rPr>
          <w:rFonts w:ascii="Times New Roman" w:hAnsi="Times New Roman"/>
          <w:sz w:val="24"/>
        </w:rPr>
        <w:t>Seminario de Ciencia de los Datos</w:t>
      </w:r>
    </w:p>
    <w:p>
      <w:pPr>
        <w:ind w:firstLine="0"/>
        <w:jc w:val="center"/>
      </w:pPr>
      <w:r>
        <w:rPr>
          <w:rFonts w:ascii="Times New Roman" w:hAnsi="Times New Roman"/>
          <w:sz w:val="24"/>
        </w:rPr>
        <w:t>Docente: [Nombre del docente]</w:t>
      </w:r>
    </w:p>
    <w:p>
      <w:pPr>
        <w:ind w:firstLine="0"/>
        <w:jc w:val="center"/>
      </w:pPr>
      <w:r>
        <w:rPr>
          <w:rFonts w:ascii="Times New Roman" w:hAnsi="Times New Roman"/>
          <w:sz w:val="24"/>
        </w:rPr>
        <w:t>20 de mayo de 2026</w:t>
      </w:r>
    </w:p>
    <w:p>
      <w:r>
        <w:br w:type="page"/>
      </w:r>
    </w:p>
    <w:p>
      <w:pPr>
        <w:spacing w:before="120" w:after="120"/>
        <w:ind w:firstLine="0"/>
        <w:jc w:val="center"/>
      </w:pPr>
      <w:r>
        <w:rPr>
          <w:rFonts w:ascii="Times New Roman" w:hAnsi="Times New Roman"/>
          <w:b/>
          <w:sz w:val="28"/>
        </w:rPr>
        <w:t>Resumen</w:t>
      </w:r>
    </w:p>
    <w:p>
      <w:pPr>
        <w:jc w:val="both"/>
      </w:pPr>
      <w:r>
        <w:rPr>
          <w:rFonts w:ascii="Times New Roman" w:hAnsi="Times New Roman"/>
          <w:sz w:val="24"/>
        </w:rPr>
        <w:t>El presente informe constituye el primer entregable del proyecto final del Seminario de Ciencia de los Datos. Se aborda el dataset Heart Disease del repositorio UCI Machine Learning (Cleveland Clinic Foundation), un conjunto de 303 observaciones con 14 atributos clinicos relacionados con el diagnostico de enfermedad coronaria. El trabajo aplica la metodologia CRISP-DM en sus fases de Comprension de los Datos y Preparacion de los Datos. Se documenta el analisis descriptivo, la evaluacion de la calidad de datos mediante pruebas de normalidad (Shapiro-Wilk) y aleatoriedad de datos faltantes (Wald-Wolfowitz), el tratamiento de outliers mediante el criterio de rango intercuartilico con capping y, finalmente, la comparacion entre dos estrategias de imputacion (mediana frente a regresion bayesiana iterativa). Los resultados evidencian no normalidad en las seis variables numericas continuas, un patron de nulos no aleatorio en la variable ca y una mejor preservacion de la distribucion original cuando se imputa mediante regresion. El dataset preprocesado queda listo para las fases de reduccion dimensional y modelado supervisado del segundo entregable.</w:t>
      </w:r>
    </w:p>
    <w:p>
      <w:pPr>
        <w:jc w:val="both"/>
      </w:pPr>
      <w:r>
        <w:rPr>
          <w:rFonts w:ascii="Times New Roman" w:hAnsi="Times New Roman"/>
          <w:sz w:val="24"/>
        </w:rPr>
        <w:t>Palabras clave: analisis exploratorio, calidad de datos, imputacion, outliers, CRISP-DM, enfermedad cardiaca.</w:t>
      </w:r>
    </w:p>
    <w:p>
      <w:r>
        <w:br w:type="page"/>
      </w:r>
    </w:p>
    <w:p>
      <w:pPr>
        <w:spacing w:before="120" w:after="120"/>
        <w:ind w:firstLine="0"/>
        <w:jc w:val="center"/>
      </w:pPr>
      <w:r>
        <w:rPr>
          <w:rFonts w:ascii="Times New Roman" w:hAnsi="Times New Roman"/>
          <w:b/>
          <w:sz w:val="28"/>
        </w:rPr>
        <w:t>Introduccion</w:t>
      </w:r>
    </w:p>
    <w:p>
      <w:pPr>
        <w:jc w:val="both"/>
      </w:pPr>
      <w:r>
        <w:rPr>
          <w:rFonts w:ascii="Times New Roman" w:hAnsi="Times New Roman"/>
          <w:sz w:val="24"/>
        </w:rPr>
        <w:t>La calidad del modelo predictivo final en cualquier proyecto de ciencia de datos esta condicionada por la calidad del proceso de preparacion de datos. De acuerdo con la metodologia CRISP-DM (Cross Industry Standard Process for Data Mining), las fases de comprension y preparacion de los datos consumen entre el sesenta y el ochenta por ciento del tiempo total del proyecto (Chapman et al., 2000). En este informe se presenta dicho ejercicio sobre un caso de aplicacion real: la deteccion de enfermedad coronaria a partir de variables clinicas no invasivas.</w:t>
      </w:r>
    </w:p>
    <w:p>
      <w:pPr>
        <w:jc w:val="both"/>
      </w:pPr>
      <w:r>
        <w:rPr>
          <w:rFonts w:ascii="Times New Roman" w:hAnsi="Times New Roman"/>
          <w:sz w:val="24"/>
        </w:rPr>
        <w:t>El dataset Heart Disease (Cleveland) fue publicado por la Cleveland Clinic Foundation y es uno de los conjuntos mas referenciados en la literatura de aprendizaje automatico aplicado a medicina (Detrano et al., 1989). Sin embargo, presenta retos clasicos de calidad: valores faltantes codificados con el caracter '?', outliers en variables como colesterol y presion arterial, y variables categoricas codificadas numericamente que pueden ser interpretadas erroneamente como continuas.</w:t>
      </w:r>
    </w:p>
    <w:p>
      <w:pPr>
        <w:jc w:val="both"/>
      </w:pPr>
      <w:r>
        <w:rPr>
          <w:rFonts w:ascii="Times New Roman" w:hAnsi="Times New Roman"/>
          <w:sz w:val="24"/>
        </w:rPr>
        <w:t>El objetivo del presente entregable es aplicar de manera rigurosa las tecnicas vistas en el seminario para entregar al cierre un dataset limpio, imputado y libre de valores extremos, sobre el cual se aplicaran las tecnicas de reduccion dimensional (PCA) y los modelos supervisados que componen el segundo entregable.</w:t>
      </w:r>
    </w:p>
    <w:p>
      <w:pPr>
        <w:spacing w:before="120" w:after="120"/>
        <w:ind w:firstLine="0"/>
      </w:pPr>
      <w:r>
        <w:rPr>
          <w:rFonts w:ascii="Times New Roman" w:hAnsi="Times New Roman"/>
          <w:b/>
          <w:sz w:val="26"/>
        </w:rPr>
        <w:t>Objetivos</w:t>
      </w:r>
    </w:p>
    <w:p>
      <w:pPr>
        <w:spacing w:before="120" w:after="120"/>
        <w:ind w:firstLine="0"/>
      </w:pPr>
      <w:r>
        <w:rPr>
          <w:rFonts w:ascii="Times New Roman" w:hAnsi="Times New Roman"/>
          <w:b/>
          <w:sz w:val="24"/>
        </w:rPr>
        <w:t>Objetivo general</w:t>
      </w:r>
    </w:p>
    <w:p>
      <w:pPr>
        <w:jc w:val="both"/>
      </w:pPr>
      <w:r>
        <w:rPr>
          <w:rFonts w:ascii="Times New Roman" w:hAnsi="Times New Roman"/>
          <w:sz w:val="24"/>
        </w:rPr>
        <w:t>Realizar el analisis exploratorio y el tratamiento avanzado del dataset Heart Disease, garantizando la calidad de los datos para el posterior modelado supervisado.</w:t>
      </w:r>
    </w:p>
    <w:p>
      <w:pPr>
        <w:spacing w:before="120" w:after="120"/>
        <w:ind w:firstLine="0"/>
      </w:pPr>
      <w:r>
        <w:rPr>
          <w:rFonts w:ascii="Times New Roman" w:hAnsi="Times New Roman"/>
          <w:b/>
          <w:sz w:val="24"/>
        </w:rPr>
        <w:t>Objetivos especificos</w:t>
      </w:r>
    </w:p>
    <w:p>
      <w:pPr>
        <w:pStyle w:val="ListBullet"/>
        <w:ind w:firstLine="0"/>
        <w:jc w:val="both"/>
      </w:pPr>
      <w:r>
        <w:rPr>
          <w:rFonts w:ascii="Times New Roman" w:hAnsi="Times New Roman"/>
          <w:sz w:val="24"/>
        </w:rPr>
      </w:r>
      <w:r>
        <w:rPr>
          <w:rFonts w:ascii="Times New Roman" w:hAnsi="Times New Roman"/>
          <w:sz w:val="24"/>
        </w:rPr>
        <w:t>Caracterizar el dataset mediante estadisticos descriptivos y la tipologia de cada variable.</w:t>
      </w:r>
    </w:p>
    <w:p>
      <w:pPr>
        <w:pStyle w:val="ListBullet"/>
        <w:ind w:firstLine="0"/>
        <w:jc w:val="both"/>
      </w:pPr>
      <w:r>
        <w:rPr>
          <w:rFonts w:ascii="Times New Roman" w:hAnsi="Times New Roman"/>
          <w:sz w:val="24"/>
        </w:rPr>
      </w:r>
      <w:r>
        <w:rPr>
          <w:rFonts w:ascii="Times New Roman" w:hAnsi="Times New Roman"/>
          <w:sz w:val="24"/>
        </w:rPr>
        <w:t>Evaluar la normalidad de las variables numericas mediante graficos Q-Q y la prueba de Shapiro-Wilk.</w:t>
      </w:r>
    </w:p>
    <w:p>
      <w:pPr>
        <w:pStyle w:val="ListBullet"/>
        <w:ind w:firstLine="0"/>
        <w:jc w:val="both"/>
      </w:pPr>
      <w:r>
        <w:rPr>
          <w:rFonts w:ascii="Times New Roman" w:hAnsi="Times New Roman"/>
          <w:sz w:val="24"/>
        </w:rPr>
      </w:r>
      <w:r>
        <w:rPr>
          <w:rFonts w:ascii="Times New Roman" w:hAnsi="Times New Roman"/>
          <w:sz w:val="24"/>
        </w:rPr>
        <w:t>Identificar el porcentaje y la aleatoriedad de los datos faltantes aplicando la prueba de rachas de Wald-Wolfowitz.</w:t>
      </w:r>
    </w:p>
    <w:p>
      <w:pPr>
        <w:pStyle w:val="ListBullet"/>
        <w:ind w:firstLine="0"/>
        <w:jc w:val="both"/>
      </w:pPr>
      <w:r>
        <w:rPr>
          <w:rFonts w:ascii="Times New Roman" w:hAnsi="Times New Roman"/>
          <w:sz w:val="24"/>
        </w:rPr>
      </w:r>
      <w:r>
        <w:rPr>
          <w:rFonts w:ascii="Times New Roman" w:hAnsi="Times New Roman"/>
          <w:sz w:val="24"/>
        </w:rPr>
        <w:t>Detectar y tratar outliers mediante el criterio de rango intercuartilico, justificando la tecnica seleccionada.</w:t>
      </w:r>
    </w:p>
    <w:p>
      <w:pPr>
        <w:pStyle w:val="ListBullet"/>
        <w:ind w:firstLine="0"/>
        <w:jc w:val="both"/>
      </w:pPr>
      <w:r>
        <w:rPr>
          <w:rFonts w:ascii="Times New Roman" w:hAnsi="Times New Roman"/>
          <w:sz w:val="24"/>
        </w:rPr>
      </w:r>
      <w:r>
        <w:rPr>
          <w:rFonts w:ascii="Times New Roman" w:hAnsi="Times New Roman"/>
          <w:sz w:val="24"/>
        </w:rPr>
        <w:t>Comparar dos tecnicas de imputacion (mediana vs. regresion iterativa) sobre la variable con mayor cantidad de nulos.</w:t>
      </w:r>
    </w:p>
    <w:p>
      <w:r>
        <w:br w:type="page"/>
      </w:r>
    </w:p>
    <w:p>
      <w:pPr>
        <w:spacing w:before="120" w:after="120"/>
        <w:ind w:firstLine="0"/>
        <w:jc w:val="center"/>
      </w:pPr>
      <w:r>
        <w:rPr>
          <w:rFonts w:ascii="Times New Roman" w:hAnsi="Times New Roman"/>
          <w:b/>
          <w:sz w:val="28"/>
        </w:rPr>
        <w:t>Marco Teorico</w:t>
      </w:r>
    </w:p>
    <w:p>
      <w:pPr>
        <w:spacing w:before="120" w:after="120"/>
        <w:ind w:firstLine="0"/>
      </w:pPr>
      <w:r>
        <w:rPr>
          <w:rFonts w:ascii="Times New Roman" w:hAnsi="Times New Roman"/>
          <w:b/>
          <w:sz w:val="26"/>
        </w:rPr>
        <w:t>Metodologia CRISP-DM</w:t>
      </w:r>
    </w:p>
    <w:p>
      <w:pPr>
        <w:jc w:val="both"/>
      </w:pPr>
      <w:r>
        <w:rPr>
          <w:rFonts w:ascii="Times New Roman" w:hAnsi="Times New Roman"/>
          <w:sz w:val="24"/>
        </w:rPr>
        <w:t>CRISP-DM es un proceso iterativo compuesto por seis fases: Comprension del Negocio, Comprension de los Datos, Preparacion de los Datos, Modelado, Evaluacion y Despliegue (Chapman et al., 2000). El presente documento aborda las fases dos y tres, dejando el resto para el entregable dos.</w:t>
      </w:r>
    </w:p>
    <w:p>
      <w:pPr>
        <w:spacing w:before="120" w:after="120"/>
        <w:ind w:firstLine="0"/>
      </w:pPr>
      <w:r>
        <w:rPr>
          <w:rFonts w:ascii="Times New Roman" w:hAnsi="Times New Roman"/>
          <w:b/>
          <w:sz w:val="26"/>
        </w:rPr>
        <w:t>Pruebas estadisticas aplicadas</w:t>
      </w:r>
    </w:p>
    <w:p>
      <w:pPr>
        <w:jc w:val="both"/>
      </w:pPr>
      <w:r>
        <w:rPr>
          <w:rFonts w:ascii="Times New Roman" w:hAnsi="Times New Roman"/>
          <w:sz w:val="24"/>
        </w:rPr>
        <w:t>La prueba de Shapiro-Wilk (Shapiro y Wilk, 1965) contrasta la hipotesis nula de que una muestra proviene de una distribucion normal. Es considerada una de las pruebas mas potentes para tamanos de muestra moderados (n &lt; 2000). Con un nivel de significancia alpha de 0.05, se rechaza H0 cuando el p valor es menor a dicho umbral.</w:t>
      </w:r>
    </w:p>
    <w:p>
      <w:pPr>
        <w:jc w:val="both"/>
      </w:pPr>
      <w:r>
        <w:rPr>
          <w:rFonts w:ascii="Times New Roman" w:hAnsi="Times New Roman"/>
          <w:sz w:val="24"/>
        </w:rPr>
        <w:t>La prueba de rachas de Wald-Wolfowitz (Wald y Wolfowitz, 1940) evalua si una secuencia binaria es aleatoria. En el contexto de datos faltantes, una secuencia binaria que codifica la presencia (1) o ausencia (0) de valor permite inferir si el mecanismo de perdida es completamente aleatorio (MCAR) o si depende de la posicion o de otra variable (MAR/MNAR), siguiendo la tipologia de Rubin (1976).</w:t>
      </w:r>
    </w:p>
    <w:p>
      <w:pPr>
        <w:spacing w:before="120" w:after="120"/>
        <w:ind w:firstLine="0"/>
      </w:pPr>
      <w:r>
        <w:rPr>
          <w:rFonts w:ascii="Times New Roman" w:hAnsi="Times New Roman"/>
          <w:b/>
          <w:sz w:val="26"/>
        </w:rPr>
        <w:t>Tratamiento de outliers</w:t>
      </w:r>
    </w:p>
    <w:p>
      <w:pPr>
        <w:jc w:val="both"/>
      </w:pPr>
      <w:r>
        <w:rPr>
          <w:rFonts w:ascii="Times New Roman" w:hAnsi="Times New Roman"/>
          <w:sz w:val="24"/>
        </w:rPr>
        <w:t>El criterio del rango intercuartilico considera valor atipico todo dato que se encuentra fuera del intervalo [Q1 - 1.5 * IQR, Q3 + 1.5 * IQR] (Tukey, 1977). Las opciones de tratamiento incluyen la eliminacion, el capping o winsorizing y la transformacion. En datasets pequenos se prefiere el capping para preservar el tamano muestral.</w:t>
      </w:r>
    </w:p>
    <w:p>
      <w:pPr>
        <w:spacing w:before="120" w:after="120"/>
        <w:ind w:firstLine="0"/>
      </w:pPr>
      <w:r>
        <w:rPr>
          <w:rFonts w:ascii="Times New Roman" w:hAnsi="Times New Roman"/>
          <w:b/>
          <w:sz w:val="26"/>
        </w:rPr>
        <w:t>Tecnicas de imputacion</w:t>
      </w:r>
    </w:p>
    <w:p>
      <w:pPr>
        <w:jc w:val="both"/>
      </w:pPr>
      <w:r>
        <w:rPr>
          <w:rFonts w:ascii="Times New Roman" w:hAnsi="Times New Roman"/>
          <w:sz w:val="24"/>
        </w:rPr>
        <w:t>La imputacion simple sustituye los valores faltantes por una medida de tendencia central (media, mediana, moda). Es rapida pero introduce sesgo y reduce la varianza de la variable. La imputacion multivariada iterativa, implementada en scikit-learn mediante la clase IterativeImputer y con un estimador BayesianRidge, modela cada variable con nulos como funcion del resto y la imputa de manera iterativa hasta converger. Esta estrategia preserva mejor las relaciones multivariantes (van Buuren, 2018).</w:t>
      </w:r>
    </w:p>
    <w:p>
      <w:r>
        <w:br w:type="page"/>
      </w:r>
    </w:p>
    <w:p>
      <w:pPr>
        <w:spacing w:before="120" w:after="120"/>
        <w:ind w:firstLine="0"/>
        <w:jc w:val="center"/>
      </w:pPr>
      <w:r>
        <w:rPr>
          <w:rFonts w:ascii="Times New Roman" w:hAnsi="Times New Roman"/>
          <w:b/>
          <w:sz w:val="28"/>
        </w:rPr>
        <w:t>Metodologia</w:t>
      </w:r>
    </w:p>
    <w:p>
      <w:pPr>
        <w:jc w:val="both"/>
      </w:pPr>
      <w:r>
        <w:rPr>
          <w:rFonts w:ascii="Times New Roman" w:hAnsi="Times New Roman"/>
          <w:sz w:val="24"/>
        </w:rPr>
        <w:t>El analisis se desarrollo en Python 3.13 utilizando las librerias pandas, numpy, matplotlib, seaborn, scipy y scikit-learn. El entorno se documenta en un cuaderno Jupyter ejecutable (Entregable1_EDA_HeartDisease.ipynb) anexo a este informe. El procedimiento siguio cinco etapas alineadas con el cronograma del seminario.</w:t>
      </w:r>
    </w:p>
    <w:p>
      <w:pPr>
        <w:spacing w:before="120" w:after="120"/>
        <w:ind w:firstLine="0"/>
      </w:pPr>
      <w:r>
        <w:rPr>
          <w:rFonts w:ascii="Times New Roman" w:hAnsi="Times New Roman"/>
          <w:b/>
          <w:sz w:val="26"/>
        </w:rPr>
        <w:t>Descripcion del dataset</w:t>
      </w:r>
    </w:p>
    <w:p>
      <w:pPr>
        <w:jc w:val="both"/>
      </w:pPr>
      <w:r>
        <w:rPr>
          <w:rFonts w:ascii="Times New Roman" w:hAnsi="Times New Roman"/>
          <w:sz w:val="24"/>
        </w:rPr>
        <w:t>El dataset Cleveland contiene 303 instancias y 14 atributos. La variable objetivo num indica la severidad de la enfermedad (0 a 4). Para este trabajo se construyo una variable binaria target donde 0 corresponde a sin enfermedad y 1 a presencia de enfermedad (num &gt;= 1).</w:t>
      </w:r>
    </w:p>
    <w:p>
      <w:pPr>
        <w:ind w:firstLine="0"/>
      </w:pPr>
      <w:r>
        <w:rPr>
          <w:rFonts w:ascii="Times New Roman" w:hAnsi="Times New Roman"/>
          <w:b/>
          <w:sz w:val="22"/>
        </w:rPr>
        <w:t>Tabla 1</w:t>
        <w:br/>
      </w:r>
      <w:r>
        <w:rPr>
          <w:rFonts w:ascii="Times New Roman" w:hAnsi="Times New Roman"/>
          <w:i/>
          <w:sz w:val="22"/>
        </w:rPr>
        <w:t>Diccionario de variables del dataset Heart Disease (Cleveland)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1"/>
              </w:rPr>
              <w:t>Variable</w:t>
            </w:r>
          </w:p>
        </w:tc>
        <w:tc>
          <w:tcPr>
            <w:tcW w:type="dxa" w:w="3120"/>
          </w:tcPr>
          <w:p>
            <w:r>
              <w:rPr>
                <w:rFonts w:ascii="Times New Roman" w:hAnsi="Times New Roman"/>
                <w:b/>
                <w:sz w:val="21"/>
              </w:rPr>
              <w:t>Descripcion</w:t>
            </w:r>
          </w:p>
        </w:tc>
        <w:tc>
          <w:tcPr>
            <w:tcW w:type="dxa" w:w="3120"/>
          </w:tcPr>
          <w:p>
            <w:r>
              <w:rPr>
                <w:rFonts w:ascii="Times New Roman" w:hAnsi="Times New Roman"/>
                <w:b/>
                <w:sz w:val="21"/>
              </w:rPr>
              <w:t>Tipo</w:t>
            </w:r>
          </w:p>
        </w:tc>
      </w:tr>
      <w:tr>
        <w:tc>
          <w:tcPr>
            <w:tcW w:type="dxa" w:w="3120"/>
          </w:tcPr>
          <w:p>
            <w:r>
              <w:rPr>
                <w:rFonts w:ascii="Times New Roman" w:hAnsi="Times New Roman"/>
                <w:sz w:val="21"/>
              </w:rPr>
              <w:t>age</w:t>
            </w:r>
          </w:p>
        </w:tc>
        <w:tc>
          <w:tcPr>
            <w:tcW w:type="dxa" w:w="3120"/>
          </w:tcPr>
          <w:p>
            <w:r>
              <w:rPr>
                <w:rFonts w:ascii="Times New Roman" w:hAnsi="Times New Roman"/>
                <w:sz w:val="21"/>
              </w:rPr>
              <w:t>Edad en anos</w:t>
            </w:r>
          </w:p>
        </w:tc>
        <w:tc>
          <w:tcPr>
            <w:tcW w:type="dxa" w:w="3120"/>
          </w:tcPr>
          <w:p>
            <w:r>
              <w:rPr>
                <w:rFonts w:ascii="Times New Roman" w:hAnsi="Times New Roman"/>
                <w:sz w:val="21"/>
              </w:rPr>
              <w:t>Numerica continua</w:t>
            </w:r>
          </w:p>
        </w:tc>
      </w:tr>
      <w:tr>
        <w:tc>
          <w:tcPr>
            <w:tcW w:type="dxa" w:w="3120"/>
          </w:tcPr>
          <w:p>
            <w:r>
              <w:rPr>
                <w:rFonts w:ascii="Times New Roman" w:hAnsi="Times New Roman"/>
                <w:sz w:val="21"/>
              </w:rPr>
              <w:t>sex</w:t>
            </w:r>
          </w:p>
        </w:tc>
        <w:tc>
          <w:tcPr>
            <w:tcW w:type="dxa" w:w="3120"/>
          </w:tcPr>
          <w:p>
            <w:r>
              <w:rPr>
                <w:rFonts w:ascii="Times New Roman" w:hAnsi="Times New Roman"/>
                <w:sz w:val="21"/>
              </w:rPr>
              <w:t>Sexo (1 = hombre, 0 = mujer)</w:t>
            </w:r>
          </w:p>
        </w:tc>
        <w:tc>
          <w:tcPr>
            <w:tcW w:type="dxa" w:w="3120"/>
          </w:tcPr>
          <w:p>
            <w:r>
              <w:rPr>
                <w:rFonts w:ascii="Times New Roman" w:hAnsi="Times New Roman"/>
                <w:sz w:val="21"/>
              </w:rPr>
              <w:t>Categorica binaria</w:t>
            </w:r>
          </w:p>
        </w:tc>
      </w:tr>
      <w:tr>
        <w:tc>
          <w:tcPr>
            <w:tcW w:type="dxa" w:w="3120"/>
          </w:tcPr>
          <w:p>
            <w:r>
              <w:rPr>
                <w:rFonts w:ascii="Times New Roman" w:hAnsi="Times New Roman"/>
                <w:sz w:val="21"/>
              </w:rPr>
              <w:t>cp</w:t>
            </w:r>
          </w:p>
        </w:tc>
        <w:tc>
          <w:tcPr>
            <w:tcW w:type="dxa" w:w="3120"/>
          </w:tcPr>
          <w:p>
            <w:r>
              <w:rPr>
                <w:rFonts w:ascii="Times New Roman" w:hAnsi="Times New Roman"/>
                <w:sz w:val="21"/>
              </w:rPr>
              <w:t>Tipo de dolor toracico (1-4)</w:t>
            </w:r>
          </w:p>
        </w:tc>
        <w:tc>
          <w:tcPr>
            <w:tcW w:type="dxa" w:w="3120"/>
          </w:tcPr>
          <w:p>
            <w:r>
              <w:rPr>
                <w:rFonts w:ascii="Times New Roman" w:hAnsi="Times New Roman"/>
                <w:sz w:val="21"/>
              </w:rPr>
              <w:t>Categorica ordinal</w:t>
            </w:r>
          </w:p>
        </w:tc>
      </w:tr>
      <w:tr>
        <w:tc>
          <w:tcPr>
            <w:tcW w:type="dxa" w:w="3120"/>
          </w:tcPr>
          <w:p>
            <w:r>
              <w:rPr>
                <w:rFonts w:ascii="Times New Roman" w:hAnsi="Times New Roman"/>
                <w:sz w:val="21"/>
              </w:rPr>
              <w:t>trestbps</w:t>
            </w:r>
          </w:p>
        </w:tc>
        <w:tc>
          <w:tcPr>
            <w:tcW w:type="dxa" w:w="3120"/>
          </w:tcPr>
          <w:p>
            <w:r>
              <w:rPr>
                <w:rFonts w:ascii="Times New Roman" w:hAnsi="Times New Roman"/>
                <w:sz w:val="21"/>
              </w:rPr>
              <w:t>Presion arterial en reposo (mm Hg)</w:t>
            </w:r>
          </w:p>
        </w:tc>
        <w:tc>
          <w:tcPr>
            <w:tcW w:type="dxa" w:w="3120"/>
          </w:tcPr>
          <w:p>
            <w:r>
              <w:rPr>
                <w:rFonts w:ascii="Times New Roman" w:hAnsi="Times New Roman"/>
                <w:sz w:val="21"/>
              </w:rPr>
              <w:t>Numerica continua</w:t>
            </w:r>
          </w:p>
        </w:tc>
      </w:tr>
      <w:tr>
        <w:tc>
          <w:tcPr>
            <w:tcW w:type="dxa" w:w="3120"/>
          </w:tcPr>
          <w:p>
            <w:r>
              <w:rPr>
                <w:rFonts w:ascii="Times New Roman" w:hAnsi="Times New Roman"/>
                <w:sz w:val="21"/>
              </w:rPr>
              <w:t>chol</w:t>
            </w:r>
          </w:p>
        </w:tc>
        <w:tc>
          <w:tcPr>
            <w:tcW w:type="dxa" w:w="3120"/>
          </w:tcPr>
          <w:p>
            <w:r>
              <w:rPr>
                <w:rFonts w:ascii="Times New Roman" w:hAnsi="Times New Roman"/>
                <w:sz w:val="21"/>
              </w:rPr>
              <w:t>Colesterol serico (mg/dl)</w:t>
            </w:r>
          </w:p>
        </w:tc>
        <w:tc>
          <w:tcPr>
            <w:tcW w:type="dxa" w:w="3120"/>
          </w:tcPr>
          <w:p>
            <w:r>
              <w:rPr>
                <w:rFonts w:ascii="Times New Roman" w:hAnsi="Times New Roman"/>
                <w:sz w:val="21"/>
              </w:rPr>
              <w:t>Numerica continua</w:t>
            </w:r>
          </w:p>
        </w:tc>
      </w:tr>
      <w:tr>
        <w:tc>
          <w:tcPr>
            <w:tcW w:type="dxa" w:w="3120"/>
          </w:tcPr>
          <w:p>
            <w:r>
              <w:rPr>
                <w:rFonts w:ascii="Times New Roman" w:hAnsi="Times New Roman"/>
                <w:sz w:val="21"/>
              </w:rPr>
              <w:t>fbs</w:t>
            </w:r>
          </w:p>
        </w:tc>
        <w:tc>
          <w:tcPr>
            <w:tcW w:type="dxa" w:w="3120"/>
          </w:tcPr>
          <w:p>
            <w:r>
              <w:rPr>
                <w:rFonts w:ascii="Times New Roman" w:hAnsi="Times New Roman"/>
                <w:sz w:val="21"/>
              </w:rPr>
              <w:t>Glicemia en ayunas &gt; 120 mg/dl</w:t>
            </w:r>
          </w:p>
        </w:tc>
        <w:tc>
          <w:tcPr>
            <w:tcW w:type="dxa" w:w="3120"/>
          </w:tcPr>
          <w:p>
            <w:r>
              <w:rPr>
                <w:rFonts w:ascii="Times New Roman" w:hAnsi="Times New Roman"/>
                <w:sz w:val="21"/>
              </w:rPr>
              <w:t>Categorica binaria</w:t>
            </w:r>
          </w:p>
        </w:tc>
      </w:tr>
      <w:tr>
        <w:tc>
          <w:tcPr>
            <w:tcW w:type="dxa" w:w="3120"/>
          </w:tcPr>
          <w:p>
            <w:r>
              <w:rPr>
                <w:rFonts w:ascii="Times New Roman" w:hAnsi="Times New Roman"/>
                <w:sz w:val="21"/>
              </w:rPr>
              <w:t>restecg</w:t>
            </w:r>
          </w:p>
        </w:tc>
        <w:tc>
          <w:tcPr>
            <w:tcW w:type="dxa" w:w="3120"/>
          </w:tcPr>
          <w:p>
            <w:r>
              <w:rPr>
                <w:rFonts w:ascii="Times New Roman" w:hAnsi="Times New Roman"/>
                <w:sz w:val="21"/>
              </w:rPr>
              <w:t>Electrocardiograma en reposo (0-2)</w:t>
            </w:r>
          </w:p>
        </w:tc>
        <w:tc>
          <w:tcPr>
            <w:tcW w:type="dxa" w:w="3120"/>
          </w:tcPr>
          <w:p>
            <w:r>
              <w:rPr>
                <w:rFonts w:ascii="Times New Roman" w:hAnsi="Times New Roman"/>
                <w:sz w:val="21"/>
              </w:rPr>
              <w:t>Categorica ordinal</w:t>
            </w:r>
          </w:p>
        </w:tc>
      </w:tr>
      <w:tr>
        <w:tc>
          <w:tcPr>
            <w:tcW w:type="dxa" w:w="3120"/>
          </w:tcPr>
          <w:p>
            <w:r>
              <w:rPr>
                <w:rFonts w:ascii="Times New Roman" w:hAnsi="Times New Roman"/>
                <w:sz w:val="21"/>
              </w:rPr>
              <w:t>thalach</w:t>
            </w:r>
          </w:p>
        </w:tc>
        <w:tc>
          <w:tcPr>
            <w:tcW w:type="dxa" w:w="3120"/>
          </w:tcPr>
          <w:p>
            <w:r>
              <w:rPr>
                <w:rFonts w:ascii="Times New Roman" w:hAnsi="Times New Roman"/>
                <w:sz w:val="21"/>
              </w:rPr>
              <w:t>Frecuencia cardiaca maxima alcanzada</w:t>
            </w:r>
          </w:p>
        </w:tc>
        <w:tc>
          <w:tcPr>
            <w:tcW w:type="dxa" w:w="3120"/>
          </w:tcPr>
          <w:p>
            <w:r>
              <w:rPr>
                <w:rFonts w:ascii="Times New Roman" w:hAnsi="Times New Roman"/>
                <w:sz w:val="21"/>
              </w:rPr>
              <w:t>Numerica continua</w:t>
            </w:r>
          </w:p>
        </w:tc>
      </w:tr>
      <w:tr>
        <w:tc>
          <w:tcPr>
            <w:tcW w:type="dxa" w:w="3120"/>
          </w:tcPr>
          <w:p>
            <w:r>
              <w:rPr>
                <w:rFonts w:ascii="Times New Roman" w:hAnsi="Times New Roman"/>
                <w:sz w:val="21"/>
              </w:rPr>
              <w:t>exang</w:t>
            </w:r>
          </w:p>
        </w:tc>
        <w:tc>
          <w:tcPr>
            <w:tcW w:type="dxa" w:w="3120"/>
          </w:tcPr>
          <w:p>
            <w:r>
              <w:rPr>
                <w:rFonts w:ascii="Times New Roman" w:hAnsi="Times New Roman"/>
                <w:sz w:val="21"/>
              </w:rPr>
              <w:t>Angina inducida por ejercicio (1/0)</w:t>
            </w:r>
          </w:p>
        </w:tc>
        <w:tc>
          <w:tcPr>
            <w:tcW w:type="dxa" w:w="3120"/>
          </w:tcPr>
          <w:p>
            <w:r>
              <w:rPr>
                <w:rFonts w:ascii="Times New Roman" w:hAnsi="Times New Roman"/>
                <w:sz w:val="21"/>
              </w:rPr>
              <w:t>Categorica binaria</w:t>
            </w:r>
          </w:p>
        </w:tc>
      </w:tr>
      <w:tr>
        <w:tc>
          <w:tcPr>
            <w:tcW w:type="dxa" w:w="3120"/>
          </w:tcPr>
          <w:p>
            <w:r>
              <w:rPr>
                <w:rFonts w:ascii="Times New Roman" w:hAnsi="Times New Roman"/>
                <w:sz w:val="21"/>
              </w:rPr>
              <w:t>oldpeak</w:t>
            </w:r>
          </w:p>
        </w:tc>
        <w:tc>
          <w:tcPr>
            <w:tcW w:type="dxa" w:w="3120"/>
          </w:tcPr>
          <w:p>
            <w:r>
              <w:rPr>
                <w:rFonts w:ascii="Times New Roman" w:hAnsi="Times New Roman"/>
                <w:sz w:val="21"/>
              </w:rPr>
              <w:t>Depresion ST por ejercicio</w:t>
            </w:r>
          </w:p>
        </w:tc>
        <w:tc>
          <w:tcPr>
            <w:tcW w:type="dxa" w:w="3120"/>
          </w:tcPr>
          <w:p>
            <w:r>
              <w:rPr>
                <w:rFonts w:ascii="Times New Roman" w:hAnsi="Times New Roman"/>
                <w:sz w:val="21"/>
              </w:rPr>
              <w:t>Numerica continua</w:t>
            </w:r>
          </w:p>
        </w:tc>
      </w:tr>
      <w:tr>
        <w:tc>
          <w:tcPr>
            <w:tcW w:type="dxa" w:w="3120"/>
          </w:tcPr>
          <w:p>
            <w:r>
              <w:rPr>
                <w:rFonts w:ascii="Times New Roman" w:hAnsi="Times New Roman"/>
                <w:sz w:val="21"/>
              </w:rPr>
              <w:t>slope</w:t>
            </w:r>
          </w:p>
        </w:tc>
        <w:tc>
          <w:tcPr>
            <w:tcW w:type="dxa" w:w="3120"/>
          </w:tcPr>
          <w:p>
            <w:r>
              <w:rPr>
                <w:rFonts w:ascii="Times New Roman" w:hAnsi="Times New Roman"/>
                <w:sz w:val="21"/>
              </w:rPr>
              <w:t>Pendiente segmento ST (1-3)</w:t>
            </w:r>
          </w:p>
        </w:tc>
        <w:tc>
          <w:tcPr>
            <w:tcW w:type="dxa" w:w="3120"/>
          </w:tcPr>
          <w:p>
            <w:r>
              <w:rPr>
                <w:rFonts w:ascii="Times New Roman" w:hAnsi="Times New Roman"/>
                <w:sz w:val="21"/>
              </w:rPr>
              <w:t>Categorica ordinal</w:t>
            </w:r>
          </w:p>
        </w:tc>
      </w:tr>
      <w:tr>
        <w:tc>
          <w:tcPr>
            <w:tcW w:type="dxa" w:w="3120"/>
          </w:tcPr>
          <w:p>
            <w:r>
              <w:rPr>
                <w:rFonts w:ascii="Times New Roman" w:hAnsi="Times New Roman"/>
                <w:sz w:val="21"/>
              </w:rPr>
              <w:t>ca</w:t>
            </w:r>
          </w:p>
        </w:tc>
        <w:tc>
          <w:tcPr>
            <w:tcW w:type="dxa" w:w="3120"/>
          </w:tcPr>
          <w:p>
            <w:r>
              <w:rPr>
                <w:rFonts w:ascii="Times New Roman" w:hAnsi="Times New Roman"/>
                <w:sz w:val="21"/>
              </w:rPr>
              <w:t>Vasos coloreados por fluoroscopia (0-3)</w:t>
            </w:r>
          </w:p>
        </w:tc>
        <w:tc>
          <w:tcPr>
            <w:tcW w:type="dxa" w:w="3120"/>
          </w:tcPr>
          <w:p>
            <w:r>
              <w:rPr>
                <w:rFonts w:ascii="Times New Roman" w:hAnsi="Times New Roman"/>
                <w:sz w:val="21"/>
              </w:rPr>
              <w:t>Numerica discreta</w:t>
            </w:r>
          </w:p>
        </w:tc>
      </w:tr>
      <w:tr>
        <w:tc>
          <w:tcPr>
            <w:tcW w:type="dxa" w:w="3120"/>
          </w:tcPr>
          <w:p>
            <w:r>
              <w:rPr>
                <w:rFonts w:ascii="Times New Roman" w:hAnsi="Times New Roman"/>
                <w:sz w:val="21"/>
              </w:rPr>
              <w:t>thal</w:t>
            </w:r>
          </w:p>
        </w:tc>
        <w:tc>
          <w:tcPr>
            <w:tcW w:type="dxa" w:w="3120"/>
          </w:tcPr>
          <w:p>
            <w:r>
              <w:rPr>
                <w:rFonts w:ascii="Times New Roman" w:hAnsi="Times New Roman"/>
                <w:sz w:val="21"/>
              </w:rPr>
              <w:t>Talasemia (3, 6, 7)</w:t>
            </w:r>
          </w:p>
        </w:tc>
        <w:tc>
          <w:tcPr>
            <w:tcW w:type="dxa" w:w="3120"/>
          </w:tcPr>
          <w:p>
            <w:r>
              <w:rPr>
                <w:rFonts w:ascii="Times New Roman" w:hAnsi="Times New Roman"/>
                <w:sz w:val="21"/>
              </w:rPr>
              <w:t>Categorica nominal</w:t>
            </w:r>
          </w:p>
        </w:tc>
      </w:tr>
      <w:tr>
        <w:tc>
          <w:tcPr>
            <w:tcW w:type="dxa" w:w="3120"/>
          </w:tcPr>
          <w:p>
            <w:r>
              <w:rPr>
                <w:rFonts w:ascii="Times New Roman" w:hAnsi="Times New Roman"/>
                <w:sz w:val="21"/>
              </w:rPr>
              <w:t>num</w:t>
            </w:r>
          </w:p>
        </w:tc>
        <w:tc>
          <w:tcPr>
            <w:tcW w:type="dxa" w:w="3120"/>
          </w:tcPr>
          <w:p>
            <w:r>
              <w:rPr>
                <w:rFonts w:ascii="Times New Roman" w:hAnsi="Times New Roman"/>
                <w:sz w:val="21"/>
              </w:rPr>
              <w:t>Diagnostico original (0-4)</w:t>
            </w:r>
          </w:p>
        </w:tc>
        <w:tc>
          <w:tcPr>
            <w:tcW w:type="dxa" w:w="3120"/>
          </w:tcPr>
          <w:p>
            <w:r>
              <w:rPr>
                <w:rFonts w:ascii="Times New Roman" w:hAnsi="Times New Roman"/>
                <w:sz w:val="21"/>
              </w:rPr>
              <w:t>Categorica ordinal</w:t>
            </w:r>
          </w:p>
        </w:tc>
      </w:tr>
      <w:tr>
        <w:tc>
          <w:tcPr>
            <w:tcW w:type="dxa" w:w="3120"/>
          </w:tcPr>
          <w:p>
            <w:r>
              <w:rPr>
                <w:rFonts w:ascii="Times New Roman" w:hAnsi="Times New Roman"/>
                <w:sz w:val="21"/>
              </w:rPr>
              <w:t>target</w:t>
            </w:r>
          </w:p>
        </w:tc>
        <w:tc>
          <w:tcPr>
            <w:tcW w:type="dxa" w:w="3120"/>
          </w:tcPr>
          <w:p>
            <w:r>
              <w:rPr>
                <w:rFonts w:ascii="Times New Roman" w:hAnsi="Times New Roman"/>
                <w:sz w:val="21"/>
              </w:rPr>
              <w:t>Diagnostico binarizado</w:t>
            </w:r>
          </w:p>
        </w:tc>
        <w:tc>
          <w:tcPr>
            <w:tcW w:type="dxa" w:w="3120"/>
          </w:tcPr>
          <w:p>
            <w:r>
              <w:rPr>
                <w:rFonts w:ascii="Times New Roman" w:hAnsi="Times New Roman"/>
                <w:sz w:val="21"/>
              </w:rPr>
              <w:t>Categorica binaria</w:t>
            </w:r>
          </w:p>
        </w:tc>
      </w:tr>
    </w:tbl>
    <w:p/>
    <w:p>
      <w:r>
        <w:br w:type="page"/>
      </w:r>
    </w:p>
    <w:p>
      <w:pPr>
        <w:spacing w:before="120" w:after="120"/>
        <w:ind w:firstLine="0"/>
        <w:jc w:val="center"/>
      </w:pPr>
      <w:r>
        <w:rPr>
          <w:rFonts w:ascii="Times New Roman" w:hAnsi="Times New Roman"/>
          <w:b/>
          <w:sz w:val="28"/>
        </w:rPr>
        <w:t>Resultados</w:t>
      </w:r>
    </w:p>
    <w:p>
      <w:pPr>
        <w:spacing w:before="120" w:after="120"/>
        <w:ind w:firstLine="0"/>
      </w:pPr>
      <w:r>
        <w:rPr>
          <w:rFonts w:ascii="Times New Roman" w:hAnsi="Times New Roman"/>
          <w:b/>
          <w:sz w:val="26"/>
        </w:rPr>
        <w:t>I. Analisis descriptivo y de calidad</w:t>
      </w:r>
    </w:p>
    <w:p>
      <w:pPr>
        <w:jc w:val="both"/>
      </w:pPr>
      <w:r>
        <w:rPr>
          <w:rFonts w:ascii="Times New Roman" w:hAnsi="Times New Roman"/>
          <w:sz w:val="24"/>
        </w:rPr>
        <w:t>El dataset tiene dimensiones de 303 filas por 14 columnas. La variable edad tiene media de 54.4 anos con desviacion estandar de 9.0, concentrandose en el rango de 48 a 61 anos. El colesterol presenta una amplitud notable (126 a 564 mg/dl) lo que anticipa la presencia de outliers. El balance entre clases del target es de 54% sin enfermedad y 46% con enfermedad, un balance favorable para clasificacion sin necesidad de tecnicas de rebalanceo.</w:t>
      </w:r>
    </w:p>
    <w:p>
      <w:pPr>
        <w:jc w:val="both"/>
      </w:pPr>
      <w:r>
        <w:rPr>
          <w:rFonts w:ascii="Times New Roman" w:hAnsi="Times New Roman"/>
          <w:sz w:val="24"/>
        </w:rPr>
        <w:t>La Tabla 2 sintetiza los estadisticos descriptivos para las seis variables numericas continuas analizadas en este informe. Se reportan el conteo de observaciones validas, la media, la desviacion estandar, los cuantiles (Q1, mediana, Q3) y los valores extremos. Estos estadisticos son la base para las decisiones de preprocesamiento que se documentan en las secciones siguientes.</w:t>
      </w:r>
    </w:p>
    <w:p>
      <w:pPr>
        <w:ind w:firstLine="0"/>
      </w:pPr>
      <w:r>
        <w:rPr>
          <w:rFonts w:ascii="Times New Roman" w:hAnsi="Times New Roman"/>
          <w:b/>
          <w:sz w:val="22"/>
        </w:rPr>
        <w:t>Tabla 2</w:t>
        <w:br/>
      </w:r>
      <w:r>
        <w:rPr>
          <w:rFonts w:ascii="Times New Roman" w:hAnsi="Times New Roman"/>
          <w:i/>
          <w:sz w:val="22"/>
        </w:rPr>
        <w:t>Estadisticos descriptivos de las variables numericas continuas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b/>
                <w:sz w:val="21"/>
              </w:rPr>
              <w:t>Variable</w:t>
            </w:r>
          </w:p>
        </w:tc>
        <w:tc>
          <w:tcPr>
            <w:tcW w:type="dxa" w:w="1040"/>
          </w:tcPr>
          <w:p>
            <w:r>
              <w:rPr>
                <w:rFonts w:ascii="Times New Roman" w:hAnsi="Times New Roman"/>
                <w:b/>
                <w:sz w:val="21"/>
              </w:rPr>
              <w:t>n</w:t>
            </w:r>
          </w:p>
        </w:tc>
        <w:tc>
          <w:tcPr>
            <w:tcW w:type="dxa" w:w="1040"/>
          </w:tcPr>
          <w:p>
            <w:r>
              <w:rPr>
                <w:rFonts w:ascii="Times New Roman" w:hAnsi="Times New Roman"/>
                <w:b/>
                <w:sz w:val="21"/>
              </w:rPr>
              <w:t>Media</w:t>
            </w:r>
          </w:p>
        </w:tc>
        <w:tc>
          <w:tcPr>
            <w:tcW w:type="dxa" w:w="1040"/>
          </w:tcPr>
          <w:p>
            <w:r>
              <w:rPr>
                <w:rFonts w:ascii="Times New Roman" w:hAnsi="Times New Roman"/>
                <w:b/>
                <w:sz w:val="21"/>
              </w:rPr>
              <w:t>Desv. estandar</w:t>
            </w:r>
          </w:p>
        </w:tc>
        <w:tc>
          <w:tcPr>
            <w:tcW w:type="dxa" w:w="1040"/>
          </w:tcPr>
          <w:p>
            <w:r>
              <w:rPr>
                <w:rFonts w:ascii="Times New Roman" w:hAnsi="Times New Roman"/>
                <w:b/>
                <w:sz w:val="21"/>
              </w:rPr>
              <w:t>Min.</w:t>
            </w:r>
          </w:p>
        </w:tc>
        <w:tc>
          <w:tcPr>
            <w:tcW w:type="dxa" w:w="1040"/>
          </w:tcPr>
          <w:p>
            <w:r>
              <w:rPr>
                <w:rFonts w:ascii="Times New Roman" w:hAnsi="Times New Roman"/>
                <w:b/>
                <w:sz w:val="21"/>
              </w:rPr>
              <w:t>Q1</w:t>
            </w:r>
          </w:p>
        </w:tc>
        <w:tc>
          <w:tcPr>
            <w:tcW w:type="dxa" w:w="1040"/>
          </w:tcPr>
          <w:p>
            <w:r>
              <w:rPr>
                <w:rFonts w:ascii="Times New Roman" w:hAnsi="Times New Roman"/>
                <w:b/>
                <w:sz w:val="21"/>
              </w:rPr>
              <w:t>Mediana</w:t>
            </w:r>
          </w:p>
        </w:tc>
        <w:tc>
          <w:tcPr>
            <w:tcW w:type="dxa" w:w="1040"/>
          </w:tcPr>
          <w:p>
            <w:r>
              <w:rPr>
                <w:rFonts w:ascii="Times New Roman" w:hAnsi="Times New Roman"/>
                <w:b/>
                <w:sz w:val="21"/>
              </w:rPr>
              <w:t>Q3</w:t>
            </w:r>
          </w:p>
        </w:tc>
        <w:tc>
          <w:tcPr>
            <w:tcW w:type="dxa" w:w="1040"/>
          </w:tcPr>
          <w:p>
            <w:r>
              <w:rPr>
                <w:rFonts w:ascii="Times New Roman" w:hAnsi="Times New Roman"/>
                <w:b/>
                <w:sz w:val="21"/>
              </w:rPr>
              <w:t>Max.</w:t>
            </w:r>
          </w:p>
        </w:tc>
      </w:tr>
      <w:tr>
        <w:tc>
          <w:tcPr>
            <w:tcW w:type="dxa" w:w="1040"/>
          </w:tcPr>
          <w:p>
            <w:r>
              <w:rPr>
                <w:rFonts w:ascii="Times New Roman" w:hAnsi="Times New Roman"/>
                <w:sz w:val="21"/>
              </w:rPr>
              <w:t>age</w:t>
            </w:r>
          </w:p>
        </w:tc>
        <w:tc>
          <w:tcPr>
            <w:tcW w:type="dxa" w:w="1040"/>
          </w:tcPr>
          <w:p>
            <w:r>
              <w:rPr>
                <w:rFonts w:ascii="Times New Roman" w:hAnsi="Times New Roman"/>
                <w:sz w:val="21"/>
              </w:rPr>
              <w:t>303</w:t>
            </w:r>
          </w:p>
        </w:tc>
        <w:tc>
          <w:tcPr>
            <w:tcW w:type="dxa" w:w="1040"/>
          </w:tcPr>
          <w:p>
            <w:r>
              <w:rPr>
                <w:rFonts w:ascii="Times New Roman" w:hAnsi="Times New Roman"/>
                <w:sz w:val="21"/>
              </w:rPr>
              <w:t>54.44</w:t>
            </w:r>
          </w:p>
        </w:tc>
        <w:tc>
          <w:tcPr>
            <w:tcW w:type="dxa" w:w="1040"/>
          </w:tcPr>
          <w:p>
            <w:r>
              <w:rPr>
                <w:rFonts w:ascii="Times New Roman" w:hAnsi="Times New Roman"/>
                <w:sz w:val="21"/>
              </w:rPr>
              <w:t>9.04</w:t>
            </w:r>
          </w:p>
        </w:tc>
        <w:tc>
          <w:tcPr>
            <w:tcW w:type="dxa" w:w="1040"/>
          </w:tcPr>
          <w:p>
            <w:r>
              <w:rPr>
                <w:rFonts w:ascii="Times New Roman" w:hAnsi="Times New Roman"/>
                <w:sz w:val="21"/>
              </w:rPr>
              <w:t>29.00</w:t>
            </w:r>
          </w:p>
        </w:tc>
        <w:tc>
          <w:tcPr>
            <w:tcW w:type="dxa" w:w="1040"/>
          </w:tcPr>
          <w:p>
            <w:r>
              <w:rPr>
                <w:rFonts w:ascii="Times New Roman" w:hAnsi="Times New Roman"/>
                <w:sz w:val="21"/>
              </w:rPr>
              <w:t>48.00</w:t>
            </w:r>
          </w:p>
        </w:tc>
        <w:tc>
          <w:tcPr>
            <w:tcW w:type="dxa" w:w="1040"/>
          </w:tcPr>
          <w:p>
            <w:r>
              <w:rPr>
                <w:rFonts w:ascii="Times New Roman" w:hAnsi="Times New Roman"/>
                <w:sz w:val="21"/>
              </w:rPr>
              <w:t>56.00</w:t>
            </w:r>
          </w:p>
        </w:tc>
        <w:tc>
          <w:tcPr>
            <w:tcW w:type="dxa" w:w="1040"/>
          </w:tcPr>
          <w:p>
            <w:r>
              <w:rPr>
                <w:rFonts w:ascii="Times New Roman" w:hAnsi="Times New Roman"/>
                <w:sz w:val="21"/>
              </w:rPr>
              <w:t>61.00</w:t>
            </w:r>
          </w:p>
        </w:tc>
        <w:tc>
          <w:tcPr>
            <w:tcW w:type="dxa" w:w="1040"/>
          </w:tcPr>
          <w:p>
            <w:r>
              <w:rPr>
                <w:rFonts w:ascii="Times New Roman" w:hAnsi="Times New Roman"/>
                <w:sz w:val="21"/>
              </w:rPr>
              <w:t>77.00</w:t>
            </w:r>
          </w:p>
        </w:tc>
      </w:tr>
      <w:tr>
        <w:tc>
          <w:tcPr>
            <w:tcW w:type="dxa" w:w="1040"/>
          </w:tcPr>
          <w:p>
            <w:r>
              <w:rPr>
                <w:rFonts w:ascii="Times New Roman" w:hAnsi="Times New Roman"/>
                <w:sz w:val="21"/>
              </w:rPr>
              <w:t>trestbps</w:t>
            </w:r>
          </w:p>
        </w:tc>
        <w:tc>
          <w:tcPr>
            <w:tcW w:type="dxa" w:w="1040"/>
          </w:tcPr>
          <w:p>
            <w:r>
              <w:rPr>
                <w:rFonts w:ascii="Times New Roman" w:hAnsi="Times New Roman"/>
                <w:sz w:val="21"/>
              </w:rPr>
              <w:t>303</w:t>
            </w:r>
          </w:p>
        </w:tc>
        <w:tc>
          <w:tcPr>
            <w:tcW w:type="dxa" w:w="1040"/>
          </w:tcPr>
          <w:p>
            <w:r>
              <w:rPr>
                <w:rFonts w:ascii="Times New Roman" w:hAnsi="Times New Roman"/>
                <w:sz w:val="21"/>
              </w:rPr>
              <w:t>131.69</w:t>
            </w:r>
          </w:p>
        </w:tc>
        <w:tc>
          <w:tcPr>
            <w:tcW w:type="dxa" w:w="1040"/>
          </w:tcPr>
          <w:p>
            <w:r>
              <w:rPr>
                <w:rFonts w:ascii="Times New Roman" w:hAnsi="Times New Roman"/>
                <w:sz w:val="21"/>
              </w:rPr>
              <w:t>17.60</w:t>
            </w:r>
          </w:p>
        </w:tc>
        <w:tc>
          <w:tcPr>
            <w:tcW w:type="dxa" w:w="1040"/>
          </w:tcPr>
          <w:p>
            <w:r>
              <w:rPr>
                <w:rFonts w:ascii="Times New Roman" w:hAnsi="Times New Roman"/>
                <w:sz w:val="21"/>
              </w:rPr>
              <w:t>94.00</w:t>
            </w:r>
          </w:p>
        </w:tc>
        <w:tc>
          <w:tcPr>
            <w:tcW w:type="dxa" w:w="1040"/>
          </w:tcPr>
          <w:p>
            <w:r>
              <w:rPr>
                <w:rFonts w:ascii="Times New Roman" w:hAnsi="Times New Roman"/>
                <w:sz w:val="21"/>
              </w:rPr>
              <w:t>120.00</w:t>
            </w:r>
          </w:p>
        </w:tc>
        <w:tc>
          <w:tcPr>
            <w:tcW w:type="dxa" w:w="1040"/>
          </w:tcPr>
          <w:p>
            <w:r>
              <w:rPr>
                <w:rFonts w:ascii="Times New Roman" w:hAnsi="Times New Roman"/>
                <w:sz w:val="21"/>
              </w:rPr>
              <w:t>130.00</w:t>
            </w:r>
          </w:p>
        </w:tc>
        <w:tc>
          <w:tcPr>
            <w:tcW w:type="dxa" w:w="1040"/>
          </w:tcPr>
          <w:p>
            <w:r>
              <w:rPr>
                <w:rFonts w:ascii="Times New Roman" w:hAnsi="Times New Roman"/>
                <w:sz w:val="21"/>
              </w:rPr>
              <w:t>140.00</w:t>
            </w:r>
          </w:p>
        </w:tc>
        <w:tc>
          <w:tcPr>
            <w:tcW w:type="dxa" w:w="1040"/>
          </w:tcPr>
          <w:p>
            <w:r>
              <w:rPr>
                <w:rFonts w:ascii="Times New Roman" w:hAnsi="Times New Roman"/>
                <w:sz w:val="21"/>
              </w:rPr>
              <w:t>200.00</w:t>
            </w:r>
          </w:p>
        </w:tc>
      </w:tr>
      <w:tr>
        <w:tc>
          <w:tcPr>
            <w:tcW w:type="dxa" w:w="1040"/>
          </w:tcPr>
          <w:p>
            <w:r>
              <w:rPr>
                <w:rFonts w:ascii="Times New Roman" w:hAnsi="Times New Roman"/>
                <w:sz w:val="21"/>
              </w:rPr>
              <w:t>chol</w:t>
            </w:r>
          </w:p>
        </w:tc>
        <w:tc>
          <w:tcPr>
            <w:tcW w:type="dxa" w:w="1040"/>
          </w:tcPr>
          <w:p>
            <w:r>
              <w:rPr>
                <w:rFonts w:ascii="Times New Roman" w:hAnsi="Times New Roman"/>
                <w:sz w:val="21"/>
              </w:rPr>
              <w:t>303</w:t>
            </w:r>
          </w:p>
        </w:tc>
        <w:tc>
          <w:tcPr>
            <w:tcW w:type="dxa" w:w="1040"/>
          </w:tcPr>
          <w:p>
            <w:r>
              <w:rPr>
                <w:rFonts w:ascii="Times New Roman" w:hAnsi="Times New Roman"/>
                <w:sz w:val="21"/>
              </w:rPr>
              <w:t>246.69</w:t>
            </w:r>
          </w:p>
        </w:tc>
        <w:tc>
          <w:tcPr>
            <w:tcW w:type="dxa" w:w="1040"/>
          </w:tcPr>
          <w:p>
            <w:r>
              <w:rPr>
                <w:rFonts w:ascii="Times New Roman" w:hAnsi="Times New Roman"/>
                <w:sz w:val="21"/>
              </w:rPr>
              <w:t>51.78</w:t>
            </w:r>
          </w:p>
        </w:tc>
        <w:tc>
          <w:tcPr>
            <w:tcW w:type="dxa" w:w="1040"/>
          </w:tcPr>
          <w:p>
            <w:r>
              <w:rPr>
                <w:rFonts w:ascii="Times New Roman" w:hAnsi="Times New Roman"/>
                <w:sz w:val="21"/>
              </w:rPr>
              <w:t>126.00</w:t>
            </w:r>
          </w:p>
        </w:tc>
        <w:tc>
          <w:tcPr>
            <w:tcW w:type="dxa" w:w="1040"/>
          </w:tcPr>
          <w:p>
            <w:r>
              <w:rPr>
                <w:rFonts w:ascii="Times New Roman" w:hAnsi="Times New Roman"/>
                <w:sz w:val="21"/>
              </w:rPr>
              <w:t>211.00</w:t>
            </w:r>
          </w:p>
        </w:tc>
        <w:tc>
          <w:tcPr>
            <w:tcW w:type="dxa" w:w="1040"/>
          </w:tcPr>
          <w:p>
            <w:r>
              <w:rPr>
                <w:rFonts w:ascii="Times New Roman" w:hAnsi="Times New Roman"/>
                <w:sz w:val="21"/>
              </w:rPr>
              <w:t>241.00</w:t>
            </w:r>
          </w:p>
        </w:tc>
        <w:tc>
          <w:tcPr>
            <w:tcW w:type="dxa" w:w="1040"/>
          </w:tcPr>
          <w:p>
            <w:r>
              <w:rPr>
                <w:rFonts w:ascii="Times New Roman" w:hAnsi="Times New Roman"/>
                <w:sz w:val="21"/>
              </w:rPr>
              <w:t>275.00</w:t>
            </w:r>
          </w:p>
        </w:tc>
        <w:tc>
          <w:tcPr>
            <w:tcW w:type="dxa" w:w="1040"/>
          </w:tcPr>
          <w:p>
            <w:r>
              <w:rPr>
                <w:rFonts w:ascii="Times New Roman" w:hAnsi="Times New Roman"/>
                <w:sz w:val="21"/>
              </w:rPr>
              <w:t>564.00</w:t>
            </w:r>
          </w:p>
        </w:tc>
      </w:tr>
      <w:tr>
        <w:tc>
          <w:tcPr>
            <w:tcW w:type="dxa" w:w="1040"/>
          </w:tcPr>
          <w:p>
            <w:r>
              <w:rPr>
                <w:rFonts w:ascii="Times New Roman" w:hAnsi="Times New Roman"/>
                <w:sz w:val="21"/>
              </w:rPr>
              <w:t>thalach</w:t>
            </w:r>
          </w:p>
        </w:tc>
        <w:tc>
          <w:tcPr>
            <w:tcW w:type="dxa" w:w="1040"/>
          </w:tcPr>
          <w:p>
            <w:r>
              <w:rPr>
                <w:rFonts w:ascii="Times New Roman" w:hAnsi="Times New Roman"/>
                <w:sz w:val="21"/>
              </w:rPr>
              <w:t>303</w:t>
            </w:r>
          </w:p>
        </w:tc>
        <w:tc>
          <w:tcPr>
            <w:tcW w:type="dxa" w:w="1040"/>
          </w:tcPr>
          <w:p>
            <w:r>
              <w:rPr>
                <w:rFonts w:ascii="Times New Roman" w:hAnsi="Times New Roman"/>
                <w:sz w:val="21"/>
              </w:rPr>
              <w:t>149.61</w:t>
            </w:r>
          </w:p>
        </w:tc>
        <w:tc>
          <w:tcPr>
            <w:tcW w:type="dxa" w:w="1040"/>
          </w:tcPr>
          <w:p>
            <w:r>
              <w:rPr>
                <w:rFonts w:ascii="Times New Roman" w:hAnsi="Times New Roman"/>
                <w:sz w:val="21"/>
              </w:rPr>
              <w:t>22.88</w:t>
            </w:r>
          </w:p>
        </w:tc>
        <w:tc>
          <w:tcPr>
            <w:tcW w:type="dxa" w:w="1040"/>
          </w:tcPr>
          <w:p>
            <w:r>
              <w:rPr>
                <w:rFonts w:ascii="Times New Roman" w:hAnsi="Times New Roman"/>
                <w:sz w:val="21"/>
              </w:rPr>
              <w:t>71.00</w:t>
            </w:r>
          </w:p>
        </w:tc>
        <w:tc>
          <w:tcPr>
            <w:tcW w:type="dxa" w:w="1040"/>
          </w:tcPr>
          <w:p>
            <w:r>
              <w:rPr>
                <w:rFonts w:ascii="Times New Roman" w:hAnsi="Times New Roman"/>
                <w:sz w:val="21"/>
              </w:rPr>
              <w:t>133.50</w:t>
            </w:r>
          </w:p>
        </w:tc>
        <w:tc>
          <w:tcPr>
            <w:tcW w:type="dxa" w:w="1040"/>
          </w:tcPr>
          <w:p>
            <w:r>
              <w:rPr>
                <w:rFonts w:ascii="Times New Roman" w:hAnsi="Times New Roman"/>
                <w:sz w:val="21"/>
              </w:rPr>
              <w:t>153.00</w:t>
            </w:r>
          </w:p>
        </w:tc>
        <w:tc>
          <w:tcPr>
            <w:tcW w:type="dxa" w:w="1040"/>
          </w:tcPr>
          <w:p>
            <w:r>
              <w:rPr>
                <w:rFonts w:ascii="Times New Roman" w:hAnsi="Times New Roman"/>
                <w:sz w:val="21"/>
              </w:rPr>
              <w:t>166.00</w:t>
            </w:r>
          </w:p>
        </w:tc>
        <w:tc>
          <w:tcPr>
            <w:tcW w:type="dxa" w:w="1040"/>
          </w:tcPr>
          <w:p>
            <w:r>
              <w:rPr>
                <w:rFonts w:ascii="Times New Roman" w:hAnsi="Times New Roman"/>
                <w:sz w:val="21"/>
              </w:rPr>
              <w:t>202.00</w:t>
            </w:r>
          </w:p>
        </w:tc>
      </w:tr>
      <w:tr>
        <w:tc>
          <w:tcPr>
            <w:tcW w:type="dxa" w:w="1040"/>
          </w:tcPr>
          <w:p>
            <w:r>
              <w:rPr>
                <w:rFonts w:ascii="Times New Roman" w:hAnsi="Times New Roman"/>
                <w:sz w:val="21"/>
              </w:rPr>
              <w:t>oldpeak</w:t>
            </w:r>
          </w:p>
        </w:tc>
        <w:tc>
          <w:tcPr>
            <w:tcW w:type="dxa" w:w="1040"/>
          </w:tcPr>
          <w:p>
            <w:r>
              <w:rPr>
                <w:rFonts w:ascii="Times New Roman" w:hAnsi="Times New Roman"/>
                <w:sz w:val="21"/>
              </w:rPr>
              <w:t>303</w:t>
            </w:r>
          </w:p>
        </w:tc>
        <w:tc>
          <w:tcPr>
            <w:tcW w:type="dxa" w:w="1040"/>
          </w:tcPr>
          <w:p>
            <w:r>
              <w:rPr>
                <w:rFonts w:ascii="Times New Roman" w:hAnsi="Times New Roman"/>
                <w:sz w:val="21"/>
              </w:rPr>
              <w:t>1.04</w:t>
            </w:r>
          </w:p>
        </w:tc>
        <w:tc>
          <w:tcPr>
            <w:tcW w:type="dxa" w:w="1040"/>
          </w:tcPr>
          <w:p>
            <w:r>
              <w:rPr>
                <w:rFonts w:ascii="Times New Roman" w:hAnsi="Times New Roman"/>
                <w:sz w:val="21"/>
              </w:rPr>
              <w:t>1.16</w:t>
            </w:r>
          </w:p>
        </w:tc>
        <w:tc>
          <w:tcPr>
            <w:tcW w:type="dxa" w:w="1040"/>
          </w:tcPr>
          <w:p>
            <w:r>
              <w:rPr>
                <w:rFonts w:ascii="Times New Roman" w:hAnsi="Times New Roman"/>
                <w:sz w:val="21"/>
              </w:rPr>
              <w:t>0.00</w:t>
            </w:r>
          </w:p>
        </w:tc>
        <w:tc>
          <w:tcPr>
            <w:tcW w:type="dxa" w:w="1040"/>
          </w:tcPr>
          <w:p>
            <w:r>
              <w:rPr>
                <w:rFonts w:ascii="Times New Roman" w:hAnsi="Times New Roman"/>
                <w:sz w:val="21"/>
              </w:rPr>
              <w:t>0.00</w:t>
            </w:r>
          </w:p>
        </w:tc>
        <w:tc>
          <w:tcPr>
            <w:tcW w:type="dxa" w:w="1040"/>
          </w:tcPr>
          <w:p>
            <w:r>
              <w:rPr>
                <w:rFonts w:ascii="Times New Roman" w:hAnsi="Times New Roman"/>
                <w:sz w:val="21"/>
              </w:rPr>
              <w:t>0.80</w:t>
            </w:r>
          </w:p>
        </w:tc>
        <w:tc>
          <w:tcPr>
            <w:tcW w:type="dxa" w:w="1040"/>
          </w:tcPr>
          <w:p>
            <w:r>
              <w:rPr>
                <w:rFonts w:ascii="Times New Roman" w:hAnsi="Times New Roman"/>
                <w:sz w:val="21"/>
              </w:rPr>
              <w:t>1.60</w:t>
            </w:r>
          </w:p>
        </w:tc>
        <w:tc>
          <w:tcPr>
            <w:tcW w:type="dxa" w:w="1040"/>
          </w:tcPr>
          <w:p>
            <w:r>
              <w:rPr>
                <w:rFonts w:ascii="Times New Roman" w:hAnsi="Times New Roman"/>
                <w:sz w:val="21"/>
              </w:rPr>
              <w:t>6.20</w:t>
            </w:r>
          </w:p>
        </w:tc>
      </w:tr>
      <w:tr>
        <w:tc>
          <w:tcPr>
            <w:tcW w:type="dxa" w:w="1040"/>
          </w:tcPr>
          <w:p>
            <w:r>
              <w:rPr>
                <w:rFonts w:ascii="Times New Roman" w:hAnsi="Times New Roman"/>
                <w:sz w:val="21"/>
              </w:rPr>
              <w:t>ca</w:t>
            </w:r>
          </w:p>
        </w:tc>
        <w:tc>
          <w:tcPr>
            <w:tcW w:type="dxa" w:w="1040"/>
          </w:tcPr>
          <w:p>
            <w:r>
              <w:rPr>
                <w:rFonts w:ascii="Times New Roman" w:hAnsi="Times New Roman"/>
                <w:sz w:val="21"/>
              </w:rPr>
              <w:t>299</w:t>
            </w:r>
          </w:p>
        </w:tc>
        <w:tc>
          <w:tcPr>
            <w:tcW w:type="dxa" w:w="1040"/>
          </w:tcPr>
          <w:p>
            <w:r>
              <w:rPr>
                <w:rFonts w:ascii="Times New Roman" w:hAnsi="Times New Roman"/>
                <w:sz w:val="21"/>
              </w:rPr>
              <w:t>0.67</w:t>
            </w:r>
          </w:p>
        </w:tc>
        <w:tc>
          <w:tcPr>
            <w:tcW w:type="dxa" w:w="1040"/>
          </w:tcPr>
          <w:p>
            <w:r>
              <w:rPr>
                <w:rFonts w:ascii="Times New Roman" w:hAnsi="Times New Roman"/>
                <w:sz w:val="21"/>
              </w:rPr>
              <w:t>0.94</w:t>
            </w:r>
          </w:p>
        </w:tc>
        <w:tc>
          <w:tcPr>
            <w:tcW w:type="dxa" w:w="1040"/>
          </w:tcPr>
          <w:p>
            <w:r>
              <w:rPr>
                <w:rFonts w:ascii="Times New Roman" w:hAnsi="Times New Roman"/>
                <w:sz w:val="21"/>
              </w:rPr>
              <w:t>0.00</w:t>
            </w:r>
          </w:p>
        </w:tc>
        <w:tc>
          <w:tcPr>
            <w:tcW w:type="dxa" w:w="1040"/>
          </w:tcPr>
          <w:p>
            <w:r>
              <w:rPr>
                <w:rFonts w:ascii="Times New Roman" w:hAnsi="Times New Roman"/>
                <w:sz w:val="21"/>
              </w:rPr>
              <w:t>0.00</w:t>
            </w:r>
          </w:p>
        </w:tc>
        <w:tc>
          <w:tcPr>
            <w:tcW w:type="dxa" w:w="1040"/>
          </w:tcPr>
          <w:p>
            <w:r>
              <w:rPr>
                <w:rFonts w:ascii="Times New Roman" w:hAnsi="Times New Roman"/>
                <w:sz w:val="21"/>
              </w:rPr>
              <w:t>0.00</w:t>
            </w:r>
          </w:p>
        </w:tc>
        <w:tc>
          <w:tcPr>
            <w:tcW w:type="dxa" w:w="1040"/>
          </w:tcPr>
          <w:p>
            <w:r>
              <w:rPr>
                <w:rFonts w:ascii="Times New Roman" w:hAnsi="Times New Roman"/>
                <w:sz w:val="21"/>
              </w:rPr>
              <w:t>1.00</w:t>
            </w:r>
          </w:p>
        </w:tc>
        <w:tc>
          <w:tcPr>
            <w:tcW w:type="dxa" w:w="1040"/>
          </w:tcPr>
          <w:p>
            <w:r>
              <w:rPr>
                <w:rFonts w:ascii="Times New Roman" w:hAnsi="Times New Roman"/>
                <w:sz w:val="21"/>
              </w:rPr>
              <w:t>3.00</w:t>
            </w:r>
          </w:p>
        </w:tc>
      </w:tr>
    </w:tbl>
    <w:p/>
    <w:p>
      <w:pPr>
        <w:jc w:val="both"/>
      </w:pPr>
      <w:r>
        <w:rPr>
          <w:rFonts w:ascii="Times New Roman" w:hAnsi="Times New Roman"/>
          <w:sz w:val="24"/>
        </w:rPr>
        <w:t>La variable ca presenta solo 299 observaciones validas, evidenciando la presencia de cuatro valores faltantes que se trataran en la seccion III. La media de oldpeak (1.04) es notablemente superior a su mediana (0.80), lo que sugiere asimetria positiva confirmada posteriormente por la prueba de normalidad. De forma analoga, ca muestra una diferencia marcada entre la media (0.67) y la mediana (0.00), reflejando una concentracion de observaciones en el valor cero.</w:t>
      </w:r>
    </w:p>
    <w:p>
      <w:pPr>
        <w:spacing w:before="120" w:after="120"/>
        <w:ind w:firstLine="0"/>
      </w:pPr>
      <w:r>
        <w:rPr>
          <w:rFonts w:ascii="Times New Roman" w:hAnsi="Times New Roman"/>
          <w:b/>
          <w:sz w:val="26"/>
        </w:rPr>
        <w:t>II. Evaluacion de la calidad - normalidad</w:t>
      </w:r>
    </w:p>
    <w:p>
      <w:pPr>
        <w:jc w:val="both"/>
      </w:pPr>
      <w:r>
        <w:rPr>
          <w:rFonts w:ascii="Times New Roman" w:hAnsi="Times New Roman"/>
          <w:sz w:val="24"/>
        </w:rPr>
        <w:t>Se aplicaron tres herramientas complementarias: histograma con curva de densidad, grafico Q-Q y prueba de Shapiro-Wilk. Los histogramas se presentan en la Figura 1.</w:t>
      </w:r>
    </w:p>
    <w:p>
      <w:pPr>
        <w:ind w:firstLine="0"/>
        <w:jc w:val="center"/>
      </w:pPr>
      <w:r>
        <w:drawing>
          <wp:inline xmlns:a="http://schemas.openxmlformats.org/drawingml/2006/main" xmlns:pic="http://schemas.openxmlformats.org/drawingml/2006/picture">
            <wp:extent cx="5486400" cy="3110150"/>
            <wp:docPr id="1" name="Picture 1"/>
            <wp:cNvGraphicFramePr>
              <a:graphicFrameLocks noChangeAspect="1"/>
            </wp:cNvGraphicFramePr>
            <a:graphic>
              <a:graphicData uri="http://schemas.openxmlformats.org/drawingml/2006/picture">
                <pic:pic>
                  <pic:nvPicPr>
                    <pic:cNvPr id="0" name="01_histogramas.png"/>
                    <pic:cNvPicPr/>
                  </pic:nvPicPr>
                  <pic:blipFill>
                    <a:blip r:embed="rId10"/>
                    <a:stretch>
                      <a:fillRect/>
                    </a:stretch>
                  </pic:blipFill>
                  <pic:spPr>
                    <a:xfrm>
                      <a:off x="0" y="0"/>
                      <a:ext cx="5486400" cy="3110150"/>
                    </a:xfrm>
                    <a:prstGeom prst="rect"/>
                  </pic:spPr>
                </pic:pic>
              </a:graphicData>
            </a:graphic>
          </wp:inline>
        </w:drawing>
      </w:r>
    </w:p>
    <w:p>
      <w:pPr>
        <w:ind w:firstLine="0"/>
        <w:jc w:val="left"/>
      </w:pPr>
      <w:r>
        <w:rPr>
          <w:rFonts w:ascii="Times New Roman" w:hAnsi="Times New Roman"/>
          <w:b/>
          <w:sz w:val="22"/>
        </w:rPr>
        <w:t>Figura 1</w:t>
        <w:br/>
      </w:r>
      <w:r>
        <w:rPr>
          <w:rFonts w:ascii="Times New Roman" w:hAnsi="Times New Roman"/>
          <w:i/>
          <w:sz w:val="22"/>
        </w:rPr>
        <w:t>Histogramas con curva de densidad para las seis variables numericas continuas. Elaboracion propia.</w:t>
      </w:r>
    </w:p>
    <w:p>
      <w:pPr>
        <w:ind w:firstLine="0"/>
        <w:jc w:val="center"/>
      </w:pPr>
      <w:r>
        <w:drawing>
          <wp:inline xmlns:a="http://schemas.openxmlformats.org/drawingml/2006/main" xmlns:pic="http://schemas.openxmlformats.org/drawingml/2006/picture">
            <wp:extent cx="5486400" cy="3107903"/>
            <wp:docPr id="2" name="Picture 2"/>
            <wp:cNvGraphicFramePr>
              <a:graphicFrameLocks noChangeAspect="1"/>
            </wp:cNvGraphicFramePr>
            <a:graphic>
              <a:graphicData uri="http://schemas.openxmlformats.org/drawingml/2006/picture">
                <pic:pic>
                  <pic:nvPicPr>
                    <pic:cNvPr id="0" name="02_qqplots.png"/>
                    <pic:cNvPicPr/>
                  </pic:nvPicPr>
                  <pic:blipFill>
                    <a:blip r:embed="rId11"/>
                    <a:stretch>
                      <a:fillRect/>
                    </a:stretch>
                  </pic:blipFill>
                  <pic:spPr>
                    <a:xfrm>
                      <a:off x="0" y="0"/>
                      <a:ext cx="5486400" cy="3107903"/>
                    </a:xfrm>
                    <a:prstGeom prst="rect"/>
                  </pic:spPr>
                </pic:pic>
              </a:graphicData>
            </a:graphic>
          </wp:inline>
        </w:drawing>
      </w:r>
    </w:p>
    <w:p>
      <w:pPr>
        <w:ind w:firstLine="0"/>
        <w:jc w:val="left"/>
      </w:pPr>
      <w:r>
        <w:rPr>
          <w:rFonts w:ascii="Times New Roman" w:hAnsi="Times New Roman"/>
          <w:b/>
          <w:sz w:val="22"/>
        </w:rPr>
        <w:t>Figura 2</w:t>
        <w:br/>
      </w:r>
      <w:r>
        <w:rPr>
          <w:rFonts w:ascii="Times New Roman" w:hAnsi="Times New Roman"/>
          <w:i/>
          <w:sz w:val="22"/>
        </w:rPr>
        <w:t>Graficos cuantil-cuantil contra distribucion normal. Las desviaciones respecto a la diagonal evidencian no normalidad. Elaboracion propia.</w:t>
      </w:r>
    </w:p>
    <w:p>
      <w:pPr>
        <w:jc w:val="both"/>
      </w:pPr>
      <w:r>
        <w:rPr>
          <w:rFonts w:ascii="Times New Roman" w:hAnsi="Times New Roman"/>
          <w:sz w:val="24"/>
        </w:rPr>
        <w:t>La lectura de los graficos cuantil-cuantil de la Figura 2 confirma visualmente la no normalidad de las seis variables. En el caso de age los puntos siguen la diagonal en la region central pero se desvian ligeramente en los extremos, lo que sugiere colas mas pesadas que las esperadas en una distribucion normal. Para trestbps y chol la desviacion es marcada en la cola superior, evidenciando la presencia de valores extremos que se tratan en la seccion IV. La variable thalach muestra una desviacion en la cola inferior asociada a pacientes con frecuencias cardiacas anormalmente bajas. Los graficos de oldpeak y ca son los que mas se alejan de la diagonal: ambos presentan una clara forma de escalera por su naturaleza discreta o semi-discreta, con concentracion masiva de observaciones en cero y asimetria positiva muy pronunciada.</w:t>
      </w:r>
    </w:p>
    <w:p>
      <w:pPr>
        <w:ind w:firstLine="0"/>
      </w:pPr>
      <w:r>
        <w:rPr>
          <w:rFonts w:ascii="Times New Roman" w:hAnsi="Times New Roman"/>
          <w:b/>
          <w:sz w:val="22"/>
        </w:rPr>
        <w:t>Tabla 3</w:t>
        <w:br/>
      </w:r>
      <w:r>
        <w:rPr>
          <w:rFonts w:ascii="Times New Roman" w:hAnsi="Times New Roman"/>
          <w:i/>
          <w:sz w:val="22"/>
        </w:rPr>
        <w:t>Resultados de la prueba de Shapiro-Wilk para normalidad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1"/>
              </w:rPr>
              <w:t>Variable</w:t>
            </w:r>
          </w:p>
        </w:tc>
        <w:tc>
          <w:tcPr>
            <w:tcW w:type="dxa" w:w="2340"/>
          </w:tcPr>
          <w:p>
            <w:r>
              <w:rPr>
                <w:rFonts w:ascii="Times New Roman" w:hAnsi="Times New Roman"/>
                <w:b/>
                <w:sz w:val="21"/>
              </w:rPr>
              <w:t>Estadistico W</w:t>
            </w:r>
          </w:p>
        </w:tc>
        <w:tc>
          <w:tcPr>
            <w:tcW w:type="dxa" w:w="2340"/>
          </w:tcPr>
          <w:p>
            <w:r>
              <w:rPr>
                <w:rFonts w:ascii="Times New Roman" w:hAnsi="Times New Roman"/>
                <w:b/>
                <w:sz w:val="21"/>
              </w:rPr>
              <w:t>p valor</w:t>
            </w:r>
          </w:p>
        </w:tc>
        <w:tc>
          <w:tcPr>
            <w:tcW w:type="dxa" w:w="2340"/>
          </w:tcPr>
          <w:p>
            <w:r>
              <w:rPr>
                <w:rFonts w:ascii="Times New Roman" w:hAnsi="Times New Roman"/>
                <w:b/>
                <w:sz w:val="21"/>
              </w:rPr>
              <w:t>Decision (alpha = 0.05)</w:t>
            </w:r>
          </w:p>
        </w:tc>
      </w:tr>
      <w:tr>
        <w:tc>
          <w:tcPr>
            <w:tcW w:type="dxa" w:w="2340"/>
          </w:tcPr>
          <w:p>
            <w:r>
              <w:rPr>
                <w:rFonts w:ascii="Times New Roman" w:hAnsi="Times New Roman"/>
                <w:sz w:val="21"/>
              </w:rPr>
              <w:t>age</w:t>
            </w:r>
          </w:p>
        </w:tc>
        <w:tc>
          <w:tcPr>
            <w:tcW w:type="dxa" w:w="2340"/>
          </w:tcPr>
          <w:p>
            <w:r>
              <w:rPr>
                <w:rFonts w:ascii="Times New Roman" w:hAnsi="Times New Roman"/>
                <w:sz w:val="21"/>
              </w:rPr>
              <w:t>0.9865</w:t>
            </w:r>
          </w:p>
        </w:tc>
        <w:tc>
          <w:tcPr>
            <w:tcW w:type="dxa" w:w="2340"/>
          </w:tcPr>
          <w:p>
            <w:r>
              <w:rPr>
                <w:rFonts w:ascii="Times New Roman" w:hAnsi="Times New Roman"/>
                <w:sz w:val="21"/>
              </w:rPr>
              <w:t>0.006069</w:t>
            </w:r>
          </w:p>
        </w:tc>
        <w:tc>
          <w:tcPr>
            <w:tcW w:type="dxa" w:w="2340"/>
          </w:tcPr>
          <w:p>
            <w:r>
              <w:rPr>
                <w:rFonts w:ascii="Times New Roman" w:hAnsi="Times New Roman"/>
                <w:sz w:val="21"/>
              </w:rPr>
              <w:t>Rechaza H0 (no normal)</w:t>
            </w:r>
          </w:p>
        </w:tc>
      </w:tr>
      <w:tr>
        <w:tc>
          <w:tcPr>
            <w:tcW w:type="dxa" w:w="2340"/>
          </w:tcPr>
          <w:p>
            <w:r>
              <w:rPr>
                <w:rFonts w:ascii="Times New Roman" w:hAnsi="Times New Roman"/>
                <w:sz w:val="21"/>
              </w:rPr>
              <w:t>trestbps</w:t>
            </w:r>
          </w:p>
        </w:tc>
        <w:tc>
          <w:tcPr>
            <w:tcW w:type="dxa" w:w="2340"/>
          </w:tcPr>
          <w:p>
            <w:r>
              <w:rPr>
                <w:rFonts w:ascii="Times New Roman" w:hAnsi="Times New Roman"/>
                <w:sz w:val="21"/>
              </w:rPr>
              <w:t>0.9665</w:t>
            </w:r>
          </w:p>
        </w:tc>
        <w:tc>
          <w:tcPr>
            <w:tcW w:type="dxa" w:w="2340"/>
          </w:tcPr>
          <w:p>
            <w:r>
              <w:rPr>
                <w:rFonts w:ascii="Times New Roman" w:hAnsi="Times New Roman"/>
                <w:sz w:val="21"/>
              </w:rPr>
              <w:t>0.000002</w:t>
            </w:r>
          </w:p>
        </w:tc>
        <w:tc>
          <w:tcPr>
            <w:tcW w:type="dxa" w:w="2340"/>
          </w:tcPr>
          <w:p>
            <w:r>
              <w:rPr>
                <w:rFonts w:ascii="Times New Roman" w:hAnsi="Times New Roman"/>
                <w:sz w:val="21"/>
              </w:rPr>
              <w:t>Rechaza H0 (no normal)</w:t>
            </w:r>
          </w:p>
        </w:tc>
      </w:tr>
      <w:tr>
        <w:tc>
          <w:tcPr>
            <w:tcW w:type="dxa" w:w="2340"/>
          </w:tcPr>
          <w:p>
            <w:r>
              <w:rPr>
                <w:rFonts w:ascii="Times New Roman" w:hAnsi="Times New Roman"/>
                <w:sz w:val="21"/>
              </w:rPr>
              <w:t>chol</w:t>
            </w:r>
          </w:p>
        </w:tc>
        <w:tc>
          <w:tcPr>
            <w:tcW w:type="dxa" w:w="2340"/>
          </w:tcPr>
          <w:p>
            <w:r>
              <w:rPr>
                <w:rFonts w:ascii="Times New Roman" w:hAnsi="Times New Roman"/>
                <w:sz w:val="21"/>
              </w:rPr>
              <w:t>0.9473</w:t>
            </w:r>
          </w:p>
        </w:tc>
        <w:tc>
          <w:tcPr>
            <w:tcW w:type="dxa" w:w="2340"/>
          </w:tcPr>
          <w:p>
            <w:r>
              <w:rPr>
                <w:rFonts w:ascii="Times New Roman" w:hAnsi="Times New Roman"/>
                <w:sz w:val="21"/>
              </w:rPr>
              <w:t>&lt;0.000001</w:t>
            </w:r>
          </w:p>
        </w:tc>
        <w:tc>
          <w:tcPr>
            <w:tcW w:type="dxa" w:w="2340"/>
          </w:tcPr>
          <w:p>
            <w:r>
              <w:rPr>
                <w:rFonts w:ascii="Times New Roman" w:hAnsi="Times New Roman"/>
                <w:sz w:val="21"/>
              </w:rPr>
              <w:t>Rechaza H0 (no normal)</w:t>
            </w:r>
          </w:p>
        </w:tc>
      </w:tr>
      <w:tr>
        <w:tc>
          <w:tcPr>
            <w:tcW w:type="dxa" w:w="2340"/>
          </w:tcPr>
          <w:p>
            <w:r>
              <w:rPr>
                <w:rFonts w:ascii="Times New Roman" w:hAnsi="Times New Roman"/>
                <w:sz w:val="21"/>
              </w:rPr>
              <w:t>thalach</w:t>
            </w:r>
          </w:p>
        </w:tc>
        <w:tc>
          <w:tcPr>
            <w:tcW w:type="dxa" w:w="2340"/>
          </w:tcPr>
          <w:p>
            <w:r>
              <w:rPr>
                <w:rFonts w:ascii="Times New Roman" w:hAnsi="Times New Roman"/>
                <w:sz w:val="21"/>
              </w:rPr>
              <w:t>0.9765</w:t>
            </w:r>
          </w:p>
        </w:tc>
        <w:tc>
          <w:tcPr>
            <w:tcW w:type="dxa" w:w="2340"/>
          </w:tcPr>
          <w:p>
            <w:r>
              <w:rPr>
                <w:rFonts w:ascii="Times New Roman" w:hAnsi="Times New Roman"/>
                <w:sz w:val="21"/>
              </w:rPr>
              <w:t>0.000070</w:t>
            </w:r>
          </w:p>
        </w:tc>
        <w:tc>
          <w:tcPr>
            <w:tcW w:type="dxa" w:w="2340"/>
          </w:tcPr>
          <w:p>
            <w:r>
              <w:rPr>
                <w:rFonts w:ascii="Times New Roman" w:hAnsi="Times New Roman"/>
                <w:sz w:val="21"/>
              </w:rPr>
              <w:t>Rechaza H0 (no normal)</w:t>
            </w:r>
          </w:p>
        </w:tc>
      </w:tr>
      <w:tr>
        <w:tc>
          <w:tcPr>
            <w:tcW w:type="dxa" w:w="2340"/>
          </w:tcPr>
          <w:p>
            <w:r>
              <w:rPr>
                <w:rFonts w:ascii="Times New Roman" w:hAnsi="Times New Roman"/>
                <w:sz w:val="21"/>
              </w:rPr>
              <w:t>oldpeak</w:t>
            </w:r>
          </w:p>
        </w:tc>
        <w:tc>
          <w:tcPr>
            <w:tcW w:type="dxa" w:w="2340"/>
          </w:tcPr>
          <w:p>
            <w:r>
              <w:rPr>
                <w:rFonts w:ascii="Times New Roman" w:hAnsi="Times New Roman"/>
                <w:sz w:val="21"/>
              </w:rPr>
              <w:t>0.8442</w:t>
            </w:r>
          </w:p>
        </w:tc>
        <w:tc>
          <w:tcPr>
            <w:tcW w:type="dxa" w:w="2340"/>
          </w:tcPr>
          <w:p>
            <w:r>
              <w:rPr>
                <w:rFonts w:ascii="Times New Roman" w:hAnsi="Times New Roman"/>
                <w:sz w:val="21"/>
              </w:rPr>
              <w:t>&lt;0.000001</w:t>
            </w:r>
          </w:p>
        </w:tc>
        <w:tc>
          <w:tcPr>
            <w:tcW w:type="dxa" w:w="2340"/>
          </w:tcPr>
          <w:p>
            <w:r>
              <w:rPr>
                <w:rFonts w:ascii="Times New Roman" w:hAnsi="Times New Roman"/>
                <w:sz w:val="21"/>
              </w:rPr>
              <w:t>Rechaza H0 (no normal)</w:t>
            </w:r>
          </w:p>
        </w:tc>
      </w:tr>
      <w:tr>
        <w:tc>
          <w:tcPr>
            <w:tcW w:type="dxa" w:w="2340"/>
          </w:tcPr>
          <w:p>
            <w:r>
              <w:rPr>
                <w:rFonts w:ascii="Times New Roman" w:hAnsi="Times New Roman"/>
                <w:sz w:val="21"/>
              </w:rPr>
              <w:t>ca</w:t>
            </w:r>
          </w:p>
        </w:tc>
        <w:tc>
          <w:tcPr>
            <w:tcW w:type="dxa" w:w="2340"/>
          </w:tcPr>
          <w:p>
            <w:r>
              <w:rPr>
                <w:rFonts w:ascii="Times New Roman" w:hAnsi="Times New Roman"/>
                <w:sz w:val="21"/>
              </w:rPr>
              <w:t>0.7187</w:t>
            </w:r>
          </w:p>
        </w:tc>
        <w:tc>
          <w:tcPr>
            <w:tcW w:type="dxa" w:w="2340"/>
          </w:tcPr>
          <w:p>
            <w:r>
              <w:rPr>
                <w:rFonts w:ascii="Times New Roman" w:hAnsi="Times New Roman"/>
                <w:sz w:val="21"/>
              </w:rPr>
              <w:t>&lt;0.000001</w:t>
            </w:r>
          </w:p>
        </w:tc>
        <w:tc>
          <w:tcPr>
            <w:tcW w:type="dxa" w:w="2340"/>
          </w:tcPr>
          <w:p>
            <w:r>
              <w:rPr>
                <w:rFonts w:ascii="Times New Roman" w:hAnsi="Times New Roman"/>
                <w:sz w:val="21"/>
              </w:rPr>
              <w:t>Rechaza H0 (no normal)</w:t>
            </w:r>
          </w:p>
        </w:tc>
      </w:tr>
    </w:tbl>
    <w:p/>
    <w:p>
      <w:pPr>
        <w:jc w:val="both"/>
      </w:pPr>
      <w:r>
        <w:rPr>
          <w:rFonts w:ascii="Times New Roman" w:hAnsi="Times New Roman"/>
          <w:sz w:val="24"/>
        </w:rPr>
        <w:t>Las seis variables rechazan la hipotesis de normalidad. Este resultado cuantitativo es coherente con la inspeccion visual de la Figura 2: las variables con estadistico W mas bajo (ca = 0.7187 y oldpeak = 0.8442) son precisamente las que mostraron las desviaciones mas severas en los Q-Q plots. La consecuencia metodologica es que las pruebas posteriores deben privilegiar estadisticos robustos (mediana, IQR) sobre la media, y que las tecnicas de modelado seleccionadas en el Entregable 2 no deben asumir normalidad de las features.</w:t>
      </w:r>
    </w:p>
    <w:p>
      <w:pPr>
        <w:spacing w:before="120" w:after="120"/>
        <w:ind w:firstLine="0"/>
      </w:pPr>
      <w:r>
        <w:rPr>
          <w:rFonts w:ascii="Times New Roman" w:hAnsi="Times New Roman"/>
          <w:b/>
          <w:sz w:val="26"/>
        </w:rPr>
        <w:t>III. Datos faltantes y prueba de rachas</w:t>
      </w:r>
    </w:p>
    <w:p>
      <w:pPr>
        <w:jc w:val="both"/>
      </w:pPr>
      <w:r>
        <w:rPr>
          <w:rFonts w:ascii="Times New Roman" w:hAnsi="Times New Roman"/>
          <w:sz w:val="24"/>
        </w:rPr>
        <w:t>El dataset original codifica los nulos como signo de interrogacion. Tras la lectura adecuada, se detectaron seis valores faltantes distribuidos en dos variables: cuatro en ca (1.32%) y dos en thal (0.66%). El porcentaje de perdida es bajo, lo que descarta la eliminacion de registros y favorece la imputacion.</w:t>
      </w:r>
    </w:p>
    <w:p>
      <w:pPr>
        <w:ind w:firstLine="0"/>
        <w:jc w:val="center"/>
      </w:pPr>
      <w:r>
        <w:drawing>
          <wp:inline xmlns:a="http://schemas.openxmlformats.org/drawingml/2006/main" xmlns:pic="http://schemas.openxmlformats.org/drawingml/2006/picture">
            <wp:extent cx="5486400" cy="2143212"/>
            <wp:docPr id="3" name="Picture 3"/>
            <wp:cNvGraphicFramePr>
              <a:graphicFrameLocks noChangeAspect="1"/>
            </wp:cNvGraphicFramePr>
            <a:graphic>
              <a:graphicData uri="http://schemas.openxmlformats.org/drawingml/2006/picture">
                <pic:pic>
                  <pic:nvPicPr>
                    <pic:cNvPr id="0" name="03_mapa_nulos.png"/>
                    <pic:cNvPicPr/>
                  </pic:nvPicPr>
                  <pic:blipFill>
                    <a:blip r:embed="rId12"/>
                    <a:stretch>
                      <a:fillRect/>
                    </a:stretch>
                  </pic:blipFill>
                  <pic:spPr>
                    <a:xfrm>
                      <a:off x="0" y="0"/>
                      <a:ext cx="5486400" cy="2143212"/>
                    </a:xfrm>
                    <a:prstGeom prst="rect"/>
                  </pic:spPr>
                </pic:pic>
              </a:graphicData>
            </a:graphic>
          </wp:inline>
        </w:drawing>
      </w:r>
    </w:p>
    <w:p>
      <w:pPr>
        <w:ind w:firstLine="0"/>
        <w:jc w:val="left"/>
      </w:pPr>
      <w:r>
        <w:rPr>
          <w:rFonts w:ascii="Times New Roman" w:hAnsi="Times New Roman"/>
          <w:b/>
          <w:sz w:val="22"/>
        </w:rPr>
        <w:t>Figura 3</w:t>
        <w:br/>
      </w:r>
      <w:r>
        <w:rPr>
          <w:rFonts w:ascii="Times New Roman" w:hAnsi="Times New Roman"/>
          <w:i/>
          <w:sz w:val="22"/>
        </w:rPr>
        <w:t>Mapa de calor de los valores faltantes en el dataset. Cada celda oscura corresponde a un valor ausente. Elaboracion propia.</w:t>
      </w:r>
    </w:p>
    <w:p>
      <w:pPr>
        <w:ind w:firstLine="0"/>
      </w:pPr>
      <w:r>
        <w:rPr>
          <w:rFonts w:ascii="Times New Roman" w:hAnsi="Times New Roman"/>
          <w:b/>
          <w:sz w:val="22"/>
        </w:rPr>
        <w:t>Tabla 4</w:t>
        <w:br/>
      </w:r>
      <w:r>
        <w:rPr>
          <w:rFonts w:ascii="Times New Roman" w:hAnsi="Times New Roman"/>
          <w:i/>
          <w:sz w:val="22"/>
        </w:rPr>
        <w:t>Prueba de rachas de Wald-Wolfowitz sobre el patron de nulos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1"/>
              </w:rPr>
              <w:t>Variable</w:t>
            </w:r>
          </w:p>
        </w:tc>
        <w:tc>
          <w:tcPr>
            <w:tcW w:type="dxa" w:w="1872"/>
          </w:tcPr>
          <w:p>
            <w:r>
              <w:rPr>
                <w:rFonts w:ascii="Times New Roman" w:hAnsi="Times New Roman"/>
                <w:b/>
                <w:sz w:val="21"/>
              </w:rPr>
              <w:t>n rachas</w:t>
            </w:r>
          </w:p>
        </w:tc>
        <w:tc>
          <w:tcPr>
            <w:tcW w:type="dxa" w:w="1872"/>
          </w:tcPr>
          <w:p>
            <w:r>
              <w:rPr>
                <w:rFonts w:ascii="Times New Roman" w:hAnsi="Times New Roman"/>
                <w:b/>
                <w:sz w:val="21"/>
              </w:rPr>
              <w:t>z</w:t>
            </w:r>
          </w:p>
        </w:tc>
        <w:tc>
          <w:tcPr>
            <w:tcW w:type="dxa" w:w="1872"/>
          </w:tcPr>
          <w:p>
            <w:r>
              <w:rPr>
                <w:rFonts w:ascii="Times New Roman" w:hAnsi="Times New Roman"/>
                <w:b/>
                <w:sz w:val="21"/>
              </w:rPr>
              <w:t>p valor</w:t>
            </w:r>
          </w:p>
        </w:tc>
        <w:tc>
          <w:tcPr>
            <w:tcW w:type="dxa" w:w="1872"/>
          </w:tcPr>
          <w:p>
            <w:r>
              <w:rPr>
                <w:rFonts w:ascii="Times New Roman" w:hAnsi="Times New Roman"/>
                <w:b/>
                <w:sz w:val="21"/>
              </w:rPr>
              <w:t>Decision</w:t>
            </w:r>
          </w:p>
        </w:tc>
      </w:tr>
      <w:tr>
        <w:tc>
          <w:tcPr>
            <w:tcW w:type="dxa" w:w="1872"/>
          </w:tcPr>
          <w:p>
            <w:r>
              <w:rPr>
                <w:rFonts w:ascii="Times New Roman" w:hAnsi="Times New Roman"/>
                <w:sz w:val="21"/>
              </w:rPr>
              <w:t>ca</w:t>
            </w:r>
          </w:p>
        </w:tc>
        <w:tc>
          <w:tcPr>
            <w:tcW w:type="dxa" w:w="1872"/>
          </w:tcPr>
          <w:p>
            <w:r>
              <w:rPr>
                <w:rFonts w:ascii="Times New Roman" w:hAnsi="Times New Roman"/>
                <w:sz w:val="21"/>
              </w:rPr>
              <w:t>8</w:t>
            </w:r>
          </w:p>
        </w:tc>
        <w:tc>
          <w:tcPr>
            <w:tcW w:type="dxa" w:w="1872"/>
          </w:tcPr>
          <w:p>
            <w:r>
              <w:rPr>
                <w:rFonts w:ascii="Times New Roman" w:hAnsi="Times New Roman"/>
                <w:sz w:val="21"/>
              </w:rPr>
              <w:t>-2.1068</w:t>
            </w:r>
          </w:p>
        </w:tc>
        <w:tc>
          <w:tcPr>
            <w:tcW w:type="dxa" w:w="1872"/>
          </w:tcPr>
          <w:p>
            <w:r>
              <w:rPr>
                <w:rFonts w:ascii="Times New Roman" w:hAnsi="Times New Roman"/>
                <w:sz w:val="21"/>
              </w:rPr>
              <w:t>0.0351</w:t>
            </w:r>
          </w:p>
        </w:tc>
        <w:tc>
          <w:tcPr>
            <w:tcW w:type="dxa" w:w="1872"/>
          </w:tcPr>
          <w:p>
            <w:r>
              <w:rPr>
                <w:rFonts w:ascii="Times New Roman" w:hAnsi="Times New Roman"/>
                <w:sz w:val="21"/>
              </w:rPr>
              <w:t>No aleatorio (MAR/MNAR)</w:t>
            </w:r>
          </w:p>
        </w:tc>
      </w:tr>
      <w:tr>
        <w:tc>
          <w:tcPr>
            <w:tcW w:type="dxa" w:w="1872"/>
          </w:tcPr>
          <w:p>
            <w:r>
              <w:rPr>
                <w:rFonts w:ascii="Times New Roman" w:hAnsi="Times New Roman"/>
                <w:sz w:val="21"/>
              </w:rPr>
              <w:t>thal</w:t>
            </w:r>
          </w:p>
        </w:tc>
        <w:tc>
          <w:tcPr>
            <w:tcW w:type="dxa" w:w="1872"/>
          </w:tcPr>
          <w:p>
            <w:r>
              <w:rPr>
                <w:rFonts w:ascii="Times New Roman" w:hAnsi="Times New Roman"/>
                <w:sz w:val="21"/>
              </w:rPr>
              <w:t>5</w:t>
            </w:r>
          </w:p>
        </w:tc>
        <w:tc>
          <w:tcPr>
            <w:tcW w:type="dxa" w:w="1872"/>
          </w:tcPr>
          <w:p>
            <w:r>
              <w:rPr>
                <w:rFonts w:ascii="Times New Roman" w:hAnsi="Times New Roman"/>
                <w:sz w:val="21"/>
              </w:rPr>
              <w:t>0.1335</w:t>
            </w:r>
          </w:p>
        </w:tc>
        <w:tc>
          <w:tcPr>
            <w:tcW w:type="dxa" w:w="1872"/>
          </w:tcPr>
          <w:p>
            <w:r>
              <w:rPr>
                <w:rFonts w:ascii="Times New Roman" w:hAnsi="Times New Roman"/>
                <w:sz w:val="21"/>
              </w:rPr>
              <w:t>0.8938</w:t>
            </w:r>
          </w:p>
        </w:tc>
        <w:tc>
          <w:tcPr>
            <w:tcW w:type="dxa" w:w="1872"/>
          </w:tcPr>
          <w:p>
            <w:r>
              <w:rPr>
                <w:rFonts w:ascii="Times New Roman" w:hAnsi="Times New Roman"/>
                <w:sz w:val="21"/>
              </w:rPr>
              <w:t>Aleatorio (MCAR plausible)</w:t>
            </w:r>
          </w:p>
        </w:tc>
      </w:tr>
    </w:tbl>
    <w:p/>
    <w:p>
      <w:pPr>
        <w:jc w:val="both"/>
      </w:pPr>
      <w:r>
        <w:rPr>
          <w:rFonts w:ascii="Times New Roman" w:hAnsi="Times New Roman"/>
          <w:sz w:val="24"/>
        </w:rPr>
        <w:t>El resultado de la variable ca indica que los datos faltantes no estan distribuidos aleatoriamente. En consecuencia, una imputacion simple por tendencia central podria introducir sesgo y se justifica explorar una imputacion multivariada que aproveche la dependencia con otras variables.</w:t>
      </w:r>
    </w:p>
    <w:p>
      <w:pPr>
        <w:spacing w:before="120" w:after="120"/>
        <w:ind w:firstLine="0"/>
      </w:pPr>
      <w:r>
        <w:rPr>
          <w:rFonts w:ascii="Times New Roman" w:hAnsi="Times New Roman"/>
          <w:b/>
          <w:sz w:val="26"/>
        </w:rPr>
        <w:t>IV. Tratamiento de outliers</w:t>
      </w:r>
    </w:p>
    <w:p>
      <w:pPr>
        <w:jc w:val="both"/>
      </w:pPr>
      <w:r>
        <w:rPr>
          <w:rFonts w:ascii="Times New Roman" w:hAnsi="Times New Roman"/>
          <w:sz w:val="24"/>
        </w:rPr>
        <w:t>Se aplico la regla 1.5 * IQR para identificar valores atipicos en las variables numericas. La Figura 4 muestra los boxplots originales.</w:t>
      </w:r>
    </w:p>
    <w:p>
      <w:pPr>
        <w:ind w:firstLine="0"/>
        <w:jc w:val="center"/>
      </w:pPr>
      <w:r>
        <w:drawing>
          <wp:inline xmlns:a="http://schemas.openxmlformats.org/drawingml/2006/main" xmlns:pic="http://schemas.openxmlformats.org/drawingml/2006/picture">
            <wp:extent cx="5486400" cy="3107903"/>
            <wp:docPr id="4" name="Picture 4"/>
            <wp:cNvGraphicFramePr>
              <a:graphicFrameLocks noChangeAspect="1"/>
            </wp:cNvGraphicFramePr>
            <a:graphic>
              <a:graphicData uri="http://schemas.openxmlformats.org/drawingml/2006/picture">
                <pic:pic>
                  <pic:nvPicPr>
                    <pic:cNvPr id="0" name="04_boxplots_antes.png"/>
                    <pic:cNvPicPr/>
                  </pic:nvPicPr>
                  <pic:blipFill>
                    <a:blip r:embed="rId13"/>
                    <a:stretch>
                      <a:fillRect/>
                    </a:stretch>
                  </pic:blipFill>
                  <pic:spPr>
                    <a:xfrm>
                      <a:off x="0" y="0"/>
                      <a:ext cx="5486400" cy="3107903"/>
                    </a:xfrm>
                    <a:prstGeom prst="rect"/>
                  </pic:spPr>
                </pic:pic>
              </a:graphicData>
            </a:graphic>
          </wp:inline>
        </w:drawing>
      </w:r>
    </w:p>
    <w:p>
      <w:pPr>
        <w:ind w:firstLine="0"/>
        <w:jc w:val="left"/>
      </w:pPr>
      <w:r>
        <w:rPr>
          <w:rFonts w:ascii="Times New Roman" w:hAnsi="Times New Roman"/>
          <w:b/>
          <w:sz w:val="22"/>
        </w:rPr>
        <w:t>Figura 4</w:t>
        <w:br/>
      </w:r>
      <w:r>
        <w:rPr>
          <w:rFonts w:ascii="Times New Roman" w:hAnsi="Times New Roman"/>
          <w:i/>
          <w:sz w:val="22"/>
        </w:rPr>
        <w:t>Boxplots de las variables numericas antes del tratamiento de outliers. Elaboracion propia.</w:t>
      </w:r>
    </w:p>
    <w:p>
      <w:pPr>
        <w:ind w:firstLine="0"/>
      </w:pPr>
      <w:r>
        <w:rPr>
          <w:rFonts w:ascii="Times New Roman" w:hAnsi="Times New Roman"/>
          <w:b/>
          <w:sz w:val="22"/>
        </w:rPr>
        <w:t>Tabla 5</w:t>
        <w:br/>
      </w:r>
      <w:r>
        <w:rPr>
          <w:rFonts w:ascii="Times New Roman" w:hAnsi="Times New Roman"/>
          <w:i/>
          <w:sz w:val="22"/>
        </w:rPr>
        <w:t>Deteccion de outliers por la regla 1.5 * IQR</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1"/>
              </w:rPr>
              <w:t>Variable</w:t>
            </w:r>
          </w:p>
        </w:tc>
        <w:tc>
          <w:tcPr>
            <w:tcW w:type="dxa" w:w="2340"/>
          </w:tcPr>
          <w:p>
            <w:r>
              <w:rPr>
                <w:rFonts w:ascii="Times New Roman" w:hAnsi="Times New Roman"/>
                <w:b/>
                <w:sz w:val="21"/>
              </w:rPr>
              <w:t>Lim. inferior</w:t>
            </w:r>
          </w:p>
        </w:tc>
        <w:tc>
          <w:tcPr>
            <w:tcW w:type="dxa" w:w="2340"/>
          </w:tcPr>
          <w:p>
            <w:r>
              <w:rPr>
                <w:rFonts w:ascii="Times New Roman" w:hAnsi="Times New Roman"/>
                <w:b/>
                <w:sz w:val="21"/>
              </w:rPr>
              <w:t>Lim. superior</w:t>
            </w:r>
          </w:p>
        </w:tc>
        <w:tc>
          <w:tcPr>
            <w:tcW w:type="dxa" w:w="2340"/>
          </w:tcPr>
          <w:p>
            <w:r>
              <w:rPr>
                <w:rFonts w:ascii="Times New Roman" w:hAnsi="Times New Roman"/>
                <w:b/>
                <w:sz w:val="21"/>
              </w:rPr>
              <w:t>n outliers</w:t>
            </w:r>
          </w:p>
        </w:tc>
      </w:tr>
      <w:tr>
        <w:tc>
          <w:tcPr>
            <w:tcW w:type="dxa" w:w="2340"/>
          </w:tcPr>
          <w:p>
            <w:r>
              <w:rPr>
                <w:rFonts w:ascii="Times New Roman" w:hAnsi="Times New Roman"/>
                <w:sz w:val="21"/>
              </w:rPr>
              <w:t>age</w:t>
            </w:r>
          </w:p>
        </w:tc>
        <w:tc>
          <w:tcPr>
            <w:tcW w:type="dxa" w:w="2340"/>
          </w:tcPr>
          <w:p>
            <w:r>
              <w:rPr>
                <w:rFonts w:ascii="Times New Roman" w:hAnsi="Times New Roman"/>
                <w:sz w:val="21"/>
              </w:rPr>
              <w:t>28.50</w:t>
            </w:r>
          </w:p>
        </w:tc>
        <w:tc>
          <w:tcPr>
            <w:tcW w:type="dxa" w:w="2340"/>
          </w:tcPr>
          <w:p>
            <w:r>
              <w:rPr>
                <w:rFonts w:ascii="Times New Roman" w:hAnsi="Times New Roman"/>
                <w:sz w:val="21"/>
              </w:rPr>
              <w:t>80.50</w:t>
            </w:r>
          </w:p>
        </w:tc>
        <w:tc>
          <w:tcPr>
            <w:tcW w:type="dxa" w:w="2340"/>
          </w:tcPr>
          <w:p>
            <w:r>
              <w:rPr>
                <w:rFonts w:ascii="Times New Roman" w:hAnsi="Times New Roman"/>
                <w:sz w:val="21"/>
              </w:rPr>
              <w:t>0</w:t>
            </w:r>
          </w:p>
        </w:tc>
      </w:tr>
      <w:tr>
        <w:tc>
          <w:tcPr>
            <w:tcW w:type="dxa" w:w="2340"/>
          </w:tcPr>
          <w:p>
            <w:r>
              <w:rPr>
                <w:rFonts w:ascii="Times New Roman" w:hAnsi="Times New Roman"/>
                <w:sz w:val="21"/>
              </w:rPr>
              <w:t>trestbps</w:t>
            </w:r>
          </w:p>
        </w:tc>
        <w:tc>
          <w:tcPr>
            <w:tcW w:type="dxa" w:w="2340"/>
          </w:tcPr>
          <w:p>
            <w:r>
              <w:rPr>
                <w:rFonts w:ascii="Times New Roman" w:hAnsi="Times New Roman"/>
                <w:sz w:val="21"/>
              </w:rPr>
              <w:t>90.00</w:t>
            </w:r>
          </w:p>
        </w:tc>
        <w:tc>
          <w:tcPr>
            <w:tcW w:type="dxa" w:w="2340"/>
          </w:tcPr>
          <w:p>
            <w:r>
              <w:rPr>
                <w:rFonts w:ascii="Times New Roman" w:hAnsi="Times New Roman"/>
                <w:sz w:val="21"/>
              </w:rPr>
              <w:t>170.00</w:t>
            </w:r>
          </w:p>
        </w:tc>
        <w:tc>
          <w:tcPr>
            <w:tcW w:type="dxa" w:w="2340"/>
          </w:tcPr>
          <w:p>
            <w:r>
              <w:rPr>
                <w:rFonts w:ascii="Times New Roman" w:hAnsi="Times New Roman"/>
                <w:sz w:val="21"/>
              </w:rPr>
              <w:t>9</w:t>
            </w:r>
          </w:p>
        </w:tc>
      </w:tr>
      <w:tr>
        <w:tc>
          <w:tcPr>
            <w:tcW w:type="dxa" w:w="2340"/>
          </w:tcPr>
          <w:p>
            <w:r>
              <w:rPr>
                <w:rFonts w:ascii="Times New Roman" w:hAnsi="Times New Roman"/>
                <w:sz w:val="21"/>
              </w:rPr>
              <w:t>chol</w:t>
            </w:r>
          </w:p>
        </w:tc>
        <w:tc>
          <w:tcPr>
            <w:tcW w:type="dxa" w:w="2340"/>
          </w:tcPr>
          <w:p>
            <w:r>
              <w:rPr>
                <w:rFonts w:ascii="Times New Roman" w:hAnsi="Times New Roman"/>
                <w:sz w:val="21"/>
              </w:rPr>
              <w:t>115.00</w:t>
            </w:r>
          </w:p>
        </w:tc>
        <w:tc>
          <w:tcPr>
            <w:tcW w:type="dxa" w:w="2340"/>
          </w:tcPr>
          <w:p>
            <w:r>
              <w:rPr>
                <w:rFonts w:ascii="Times New Roman" w:hAnsi="Times New Roman"/>
                <w:sz w:val="21"/>
              </w:rPr>
              <w:t>371.00</w:t>
            </w:r>
          </w:p>
        </w:tc>
        <w:tc>
          <w:tcPr>
            <w:tcW w:type="dxa" w:w="2340"/>
          </w:tcPr>
          <w:p>
            <w:r>
              <w:rPr>
                <w:rFonts w:ascii="Times New Roman" w:hAnsi="Times New Roman"/>
                <w:sz w:val="21"/>
              </w:rPr>
              <w:t>5</w:t>
            </w:r>
          </w:p>
        </w:tc>
      </w:tr>
      <w:tr>
        <w:tc>
          <w:tcPr>
            <w:tcW w:type="dxa" w:w="2340"/>
          </w:tcPr>
          <w:p>
            <w:r>
              <w:rPr>
                <w:rFonts w:ascii="Times New Roman" w:hAnsi="Times New Roman"/>
                <w:sz w:val="21"/>
              </w:rPr>
              <w:t>thalach</w:t>
            </w:r>
          </w:p>
        </w:tc>
        <w:tc>
          <w:tcPr>
            <w:tcW w:type="dxa" w:w="2340"/>
          </w:tcPr>
          <w:p>
            <w:r>
              <w:rPr>
                <w:rFonts w:ascii="Times New Roman" w:hAnsi="Times New Roman"/>
                <w:sz w:val="21"/>
              </w:rPr>
              <w:t>84.75</w:t>
            </w:r>
          </w:p>
        </w:tc>
        <w:tc>
          <w:tcPr>
            <w:tcW w:type="dxa" w:w="2340"/>
          </w:tcPr>
          <w:p>
            <w:r>
              <w:rPr>
                <w:rFonts w:ascii="Times New Roman" w:hAnsi="Times New Roman"/>
                <w:sz w:val="21"/>
              </w:rPr>
              <w:t>214.75</w:t>
            </w:r>
          </w:p>
        </w:tc>
        <w:tc>
          <w:tcPr>
            <w:tcW w:type="dxa" w:w="2340"/>
          </w:tcPr>
          <w:p>
            <w:r>
              <w:rPr>
                <w:rFonts w:ascii="Times New Roman" w:hAnsi="Times New Roman"/>
                <w:sz w:val="21"/>
              </w:rPr>
              <w:t>1</w:t>
            </w:r>
          </w:p>
        </w:tc>
      </w:tr>
      <w:tr>
        <w:tc>
          <w:tcPr>
            <w:tcW w:type="dxa" w:w="2340"/>
          </w:tcPr>
          <w:p>
            <w:r>
              <w:rPr>
                <w:rFonts w:ascii="Times New Roman" w:hAnsi="Times New Roman"/>
                <w:sz w:val="21"/>
              </w:rPr>
              <w:t>oldpeak</w:t>
            </w:r>
          </w:p>
        </w:tc>
        <w:tc>
          <w:tcPr>
            <w:tcW w:type="dxa" w:w="2340"/>
          </w:tcPr>
          <w:p>
            <w:r>
              <w:rPr>
                <w:rFonts w:ascii="Times New Roman" w:hAnsi="Times New Roman"/>
                <w:sz w:val="21"/>
              </w:rPr>
              <w:t>-2.40</w:t>
            </w:r>
          </w:p>
        </w:tc>
        <w:tc>
          <w:tcPr>
            <w:tcW w:type="dxa" w:w="2340"/>
          </w:tcPr>
          <w:p>
            <w:r>
              <w:rPr>
                <w:rFonts w:ascii="Times New Roman" w:hAnsi="Times New Roman"/>
                <w:sz w:val="21"/>
              </w:rPr>
              <w:t>4.00</w:t>
            </w:r>
          </w:p>
        </w:tc>
        <w:tc>
          <w:tcPr>
            <w:tcW w:type="dxa" w:w="2340"/>
          </w:tcPr>
          <w:p>
            <w:r>
              <w:rPr>
                <w:rFonts w:ascii="Times New Roman" w:hAnsi="Times New Roman"/>
                <w:sz w:val="21"/>
              </w:rPr>
              <w:t>5</w:t>
            </w:r>
          </w:p>
        </w:tc>
      </w:tr>
      <w:tr>
        <w:tc>
          <w:tcPr>
            <w:tcW w:type="dxa" w:w="2340"/>
          </w:tcPr>
          <w:p>
            <w:r>
              <w:rPr>
                <w:rFonts w:ascii="Times New Roman" w:hAnsi="Times New Roman"/>
                <w:sz w:val="21"/>
              </w:rPr>
              <w:t>ca</w:t>
            </w:r>
          </w:p>
        </w:tc>
        <w:tc>
          <w:tcPr>
            <w:tcW w:type="dxa" w:w="2340"/>
          </w:tcPr>
          <w:p>
            <w:r>
              <w:rPr>
                <w:rFonts w:ascii="Times New Roman" w:hAnsi="Times New Roman"/>
                <w:sz w:val="21"/>
              </w:rPr>
              <w:t>-1.50</w:t>
            </w:r>
          </w:p>
        </w:tc>
        <w:tc>
          <w:tcPr>
            <w:tcW w:type="dxa" w:w="2340"/>
          </w:tcPr>
          <w:p>
            <w:r>
              <w:rPr>
                <w:rFonts w:ascii="Times New Roman" w:hAnsi="Times New Roman"/>
                <w:sz w:val="21"/>
              </w:rPr>
              <w:t>2.50</w:t>
            </w:r>
          </w:p>
        </w:tc>
        <w:tc>
          <w:tcPr>
            <w:tcW w:type="dxa" w:w="2340"/>
          </w:tcPr>
          <w:p>
            <w:r>
              <w:rPr>
                <w:rFonts w:ascii="Times New Roman" w:hAnsi="Times New Roman"/>
                <w:sz w:val="21"/>
              </w:rPr>
              <w:t>20</w:t>
            </w:r>
          </w:p>
        </w:tc>
      </w:tr>
    </w:tbl>
    <w:p/>
    <w:p>
      <w:pPr>
        <w:jc w:val="both"/>
      </w:pPr>
      <w:r>
        <w:rPr>
          <w:rFonts w:ascii="Times New Roman" w:hAnsi="Times New Roman"/>
          <w:sz w:val="24"/>
        </w:rPr>
        <w:t>Se opto por la tecnica de capping o winsorizing en lugar de la eliminacion por dos razones. Primero, el tamano muestral es modesto (n = 303) y eliminar 40 observaciones representa una perdida del 13% de la informacion. Segundo, los outliers tienen sentido clinico: un paciente con colesterol de 564 mg/dl es un caso real y excepcional pero no un error de medicion. El capping conserva el registro y limita su influencia.</w:t>
      </w:r>
    </w:p>
    <w:p>
      <w:pPr>
        <w:ind w:firstLine="0"/>
        <w:jc w:val="center"/>
      </w:pPr>
      <w:r>
        <w:drawing>
          <wp:inline xmlns:a="http://schemas.openxmlformats.org/drawingml/2006/main" xmlns:pic="http://schemas.openxmlformats.org/drawingml/2006/picture">
            <wp:extent cx="5486400" cy="3098946"/>
            <wp:docPr id="5" name="Picture 5"/>
            <wp:cNvGraphicFramePr>
              <a:graphicFrameLocks noChangeAspect="1"/>
            </wp:cNvGraphicFramePr>
            <a:graphic>
              <a:graphicData uri="http://schemas.openxmlformats.org/drawingml/2006/picture">
                <pic:pic>
                  <pic:nvPicPr>
                    <pic:cNvPr id="0" name="05_boxplots_despues.png"/>
                    <pic:cNvPicPr/>
                  </pic:nvPicPr>
                  <pic:blipFill>
                    <a:blip r:embed="rId14"/>
                    <a:stretch>
                      <a:fillRect/>
                    </a:stretch>
                  </pic:blipFill>
                  <pic:spPr>
                    <a:xfrm>
                      <a:off x="0" y="0"/>
                      <a:ext cx="5486400" cy="3098946"/>
                    </a:xfrm>
                    <a:prstGeom prst="rect"/>
                  </pic:spPr>
                </pic:pic>
              </a:graphicData>
            </a:graphic>
          </wp:inline>
        </w:drawing>
      </w:r>
    </w:p>
    <w:p>
      <w:pPr>
        <w:ind w:firstLine="0"/>
        <w:jc w:val="left"/>
      </w:pPr>
      <w:r>
        <w:rPr>
          <w:rFonts w:ascii="Times New Roman" w:hAnsi="Times New Roman"/>
          <w:b/>
          <w:sz w:val="22"/>
        </w:rPr>
        <w:t>Figura 5</w:t>
        <w:br/>
      </w:r>
      <w:r>
        <w:rPr>
          <w:rFonts w:ascii="Times New Roman" w:hAnsi="Times New Roman"/>
          <w:i/>
          <w:sz w:val="22"/>
        </w:rPr>
        <w:t>Boxplots despues de aplicar capping a los valores fuera del rango 1.5 * IQR. Elaboracion propia.</w:t>
      </w:r>
    </w:p>
    <w:p>
      <w:pPr>
        <w:spacing w:before="120" w:after="120"/>
        <w:ind w:firstLine="0"/>
      </w:pPr>
      <w:r>
        <w:rPr>
          <w:rFonts w:ascii="Times New Roman" w:hAnsi="Times New Roman"/>
          <w:b/>
          <w:sz w:val="26"/>
        </w:rPr>
        <w:t>V. Imputacion comparativa</w:t>
      </w:r>
    </w:p>
    <w:p>
      <w:pPr>
        <w:jc w:val="both"/>
      </w:pPr>
      <w:r>
        <w:rPr>
          <w:rFonts w:ascii="Times New Roman" w:hAnsi="Times New Roman"/>
          <w:sz w:val="24"/>
        </w:rPr>
        <w:t>Se compararon dos tecnicas de imputacion sobre la variable ca, la de mayor cantidad de nulos y con patron no aleatorio segun la prueba de rachas. La primera tecnica es la imputacion simple por mediana, elegida frente a la media debido a la no normalidad demostrada en la seccion anterior. La segunda es la imputacion iterativa multivariada con un estimador BayesianRidge, implementada mediante IterativeImputer de scikit-learn.</w:t>
      </w:r>
    </w:p>
    <w:p>
      <w:pPr>
        <w:ind w:firstLine="0"/>
        <w:jc w:val="center"/>
      </w:pPr>
      <w:r>
        <w:drawing>
          <wp:inline xmlns:a="http://schemas.openxmlformats.org/drawingml/2006/main" xmlns:pic="http://schemas.openxmlformats.org/drawingml/2006/picture">
            <wp:extent cx="5486400" cy="1503218"/>
            <wp:docPr id="6" name="Picture 6"/>
            <wp:cNvGraphicFramePr>
              <a:graphicFrameLocks noChangeAspect="1"/>
            </wp:cNvGraphicFramePr>
            <a:graphic>
              <a:graphicData uri="http://schemas.openxmlformats.org/drawingml/2006/picture">
                <pic:pic>
                  <pic:nvPicPr>
                    <pic:cNvPr id="0" name="06_comparacion_imputacion.png"/>
                    <pic:cNvPicPr/>
                  </pic:nvPicPr>
                  <pic:blipFill>
                    <a:blip r:embed="rId15"/>
                    <a:stretch>
                      <a:fillRect/>
                    </a:stretch>
                  </pic:blipFill>
                  <pic:spPr>
                    <a:xfrm>
                      <a:off x="0" y="0"/>
                      <a:ext cx="5486400" cy="1503218"/>
                    </a:xfrm>
                    <a:prstGeom prst="rect"/>
                  </pic:spPr>
                </pic:pic>
              </a:graphicData>
            </a:graphic>
          </wp:inline>
        </w:drawing>
      </w:r>
    </w:p>
    <w:p>
      <w:pPr>
        <w:ind w:firstLine="0"/>
        <w:jc w:val="left"/>
      </w:pPr>
      <w:r>
        <w:rPr>
          <w:rFonts w:ascii="Times New Roman" w:hAnsi="Times New Roman"/>
          <w:b/>
          <w:sz w:val="22"/>
        </w:rPr>
        <w:t>Figura 6</w:t>
        <w:br/>
      </w:r>
      <w:r>
        <w:rPr>
          <w:rFonts w:ascii="Times New Roman" w:hAnsi="Times New Roman"/>
          <w:i/>
          <w:sz w:val="22"/>
        </w:rPr>
        <w:t>Comparacion de distribuciones para la variable ca: original (con nulos), imputacion simple por mediana e imputacion por regresion bayesiana. Elaboracion propia.</w:t>
      </w:r>
    </w:p>
    <w:p>
      <w:pPr>
        <w:ind w:firstLine="0"/>
      </w:pPr>
      <w:r>
        <w:rPr>
          <w:rFonts w:ascii="Times New Roman" w:hAnsi="Times New Roman"/>
          <w:b/>
          <w:sz w:val="22"/>
        </w:rPr>
        <w:t>Tabla 6</w:t>
        <w:br/>
      </w:r>
      <w:r>
        <w:rPr>
          <w:rFonts w:ascii="Times New Roman" w:hAnsi="Times New Roman"/>
          <w:i/>
          <w:sz w:val="22"/>
        </w:rPr>
        <w:t>Comparacion estadistica de la imputacion en la variable ca</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1"/>
              </w:rPr>
              <w:t>Estadistico</w:t>
            </w:r>
          </w:p>
        </w:tc>
        <w:tc>
          <w:tcPr>
            <w:tcW w:type="dxa" w:w="2340"/>
          </w:tcPr>
          <w:p>
            <w:r>
              <w:rPr>
                <w:rFonts w:ascii="Times New Roman" w:hAnsi="Times New Roman"/>
                <w:b/>
                <w:sz w:val="21"/>
              </w:rPr>
              <w:t>Original</w:t>
            </w:r>
          </w:p>
        </w:tc>
        <w:tc>
          <w:tcPr>
            <w:tcW w:type="dxa" w:w="2340"/>
          </w:tcPr>
          <w:p>
            <w:r>
              <w:rPr>
                <w:rFonts w:ascii="Times New Roman" w:hAnsi="Times New Roman"/>
                <w:b/>
                <w:sz w:val="21"/>
              </w:rPr>
              <w:t>Imp. mediana</w:t>
            </w:r>
          </w:p>
        </w:tc>
        <w:tc>
          <w:tcPr>
            <w:tcW w:type="dxa" w:w="2340"/>
          </w:tcPr>
          <w:p>
            <w:r>
              <w:rPr>
                <w:rFonts w:ascii="Times New Roman" w:hAnsi="Times New Roman"/>
                <w:b/>
                <w:sz w:val="21"/>
              </w:rPr>
              <w:t>Imp. regresion</w:t>
            </w:r>
          </w:p>
        </w:tc>
      </w:tr>
      <w:tr>
        <w:tc>
          <w:tcPr>
            <w:tcW w:type="dxa" w:w="2340"/>
          </w:tcPr>
          <w:p>
            <w:r>
              <w:rPr>
                <w:rFonts w:ascii="Times New Roman" w:hAnsi="Times New Roman"/>
                <w:sz w:val="21"/>
              </w:rPr>
              <w:t>count</w:t>
            </w:r>
          </w:p>
        </w:tc>
        <w:tc>
          <w:tcPr>
            <w:tcW w:type="dxa" w:w="2340"/>
          </w:tcPr>
          <w:p>
            <w:r>
              <w:rPr>
                <w:rFonts w:ascii="Times New Roman" w:hAnsi="Times New Roman"/>
                <w:sz w:val="21"/>
              </w:rPr>
              <w:t>299</w:t>
            </w:r>
          </w:p>
        </w:tc>
        <w:tc>
          <w:tcPr>
            <w:tcW w:type="dxa" w:w="2340"/>
          </w:tcPr>
          <w:p>
            <w:r>
              <w:rPr>
                <w:rFonts w:ascii="Times New Roman" w:hAnsi="Times New Roman"/>
                <w:sz w:val="21"/>
              </w:rPr>
              <w:t>303</w:t>
            </w:r>
          </w:p>
        </w:tc>
        <w:tc>
          <w:tcPr>
            <w:tcW w:type="dxa" w:w="2340"/>
          </w:tcPr>
          <w:p>
            <w:r>
              <w:rPr>
                <w:rFonts w:ascii="Times New Roman" w:hAnsi="Times New Roman"/>
                <w:sz w:val="21"/>
              </w:rPr>
              <w:t>303</w:t>
            </w:r>
          </w:p>
        </w:tc>
      </w:tr>
      <w:tr>
        <w:tc>
          <w:tcPr>
            <w:tcW w:type="dxa" w:w="2340"/>
          </w:tcPr>
          <w:p>
            <w:r>
              <w:rPr>
                <w:rFonts w:ascii="Times New Roman" w:hAnsi="Times New Roman"/>
                <w:sz w:val="21"/>
              </w:rPr>
              <w:t>media</w:t>
            </w:r>
          </w:p>
        </w:tc>
        <w:tc>
          <w:tcPr>
            <w:tcW w:type="dxa" w:w="2340"/>
          </w:tcPr>
          <w:p>
            <w:r>
              <w:rPr>
                <w:rFonts w:ascii="Times New Roman" w:hAnsi="Times New Roman"/>
                <w:sz w:val="21"/>
              </w:rPr>
              <w:t>0.6722</w:t>
            </w:r>
          </w:p>
        </w:tc>
        <w:tc>
          <w:tcPr>
            <w:tcW w:type="dxa" w:w="2340"/>
          </w:tcPr>
          <w:p>
            <w:r>
              <w:rPr>
                <w:rFonts w:ascii="Times New Roman" w:hAnsi="Times New Roman"/>
                <w:sz w:val="21"/>
              </w:rPr>
              <w:t>0.6304</w:t>
            </w:r>
          </w:p>
        </w:tc>
        <w:tc>
          <w:tcPr>
            <w:tcW w:type="dxa" w:w="2340"/>
          </w:tcPr>
          <w:p>
            <w:r>
              <w:rPr>
                <w:rFonts w:ascii="Times New Roman" w:hAnsi="Times New Roman"/>
                <w:sz w:val="21"/>
              </w:rPr>
              <w:t>0.6351</w:t>
            </w:r>
          </w:p>
        </w:tc>
      </w:tr>
      <w:tr>
        <w:tc>
          <w:tcPr>
            <w:tcW w:type="dxa" w:w="2340"/>
          </w:tcPr>
          <w:p>
            <w:r>
              <w:rPr>
                <w:rFonts w:ascii="Times New Roman" w:hAnsi="Times New Roman"/>
                <w:sz w:val="21"/>
              </w:rPr>
              <w:t>desv. estandar</w:t>
            </w:r>
          </w:p>
        </w:tc>
        <w:tc>
          <w:tcPr>
            <w:tcW w:type="dxa" w:w="2340"/>
          </w:tcPr>
          <w:p>
            <w:r>
              <w:rPr>
                <w:rFonts w:ascii="Times New Roman" w:hAnsi="Times New Roman"/>
                <w:sz w:val="21"/>
              </w:rPr>
              <w:t>0.9374</w:t>
            </w:r>
          </w:p>
        </w:tc>
        <w:tc>
          <w:tcPr>
            <w:tcW w:type="dxa" w:w="2340"/>
          </w:tcPr>
          <w:p>
            <w:r>
              <w:rPr>
                <w:rFonts w:ascii="Times New Roman" w:hAnsi="Times New Roman"/>
                <w:sz w:val="21"/>
              </w:rPr>
              <w:t>0.8566</w:t>
            </w:r>
          </w:p>
        </w:tc>
        <w:tc>
          <w:tcPr>
            <w:tcW w:type="dxa" w:w="2340"/>
          </w:tcPr>
          <w:p>
            <w:r>
              <w:rPr>
                <w:rFonts w:ascii="Times New Roman" w:hAnsi="Times New Roman"/>
                <w:sz w:val="21"/>
              </w:rPr>
              <w:t>0.8547</w:t>
            </w:r>
          </w:p>
        </w:tc>
      </w:tr>
      <w:tr>
        <w:tc>
          <w:tcPr>
            <w:tcW w:type="dxa" w:w="2340"/>
          </w:tcPr>
          <w:p>
            <w:r>
              <w:rPr>
                <w:rFonts w:ascii="Times New Roman" w:hAnsi="Times New Roman"/>
                <w:sz w:val="21"/>
              </w:rPr>
              <w:t>mediana</w:t>
            </w:r>
          </w:p>
        </w:tc>
        <w:tc>
          <w:tcPr>
            <w:tcW w:type="dxa" w:w="2340"/>
          </w:tcPr>
          <w:p>
            <w:r>
              <w:rPr>
                <w:rFonts w:ascii="Times New Roman" w:hAnsi="Times New Roman"/>
                <w:sz w:val="21"/>
              </w:rPr>
              <w:t>0.0000</w:t>
            </w:r>
          </w:p>
        </w:tc>
        <w:tc>
          <w:tcPr>
            <w:tcW w:type="dxa" w:w="2340"/>
          </w:tcPr>
          <w:p>
            <w:r>
              <w:rPr>
                <w:rFonts w:ascii="Times New Roman" w:hAnsi="Times New Roman"/>
                <w:sz w:val="21"/>
              </w:rPr>
              <w:t>0.0000</w:t>
            </w:r>
          </w:p>
        </w:tc>
        <w:tc>
          <w:tcPr>
            <w:tcW w:type="dxa" w:w="2340"/>
          </w:tcPr>
          <w:p>
            <w:r>
              <w:rPr>
                <w:rFonts w:ascii="Times New Roman" w:hAnsi="Times New Roman"/>
                <w:sz w:val="21"/>
              </w:rPr>
              <w:t>0.0000</w:t>
            </w:r>
          </w:p>
        </w:tc>
      </w:tr>
      <w:tr>
        <w:tc>
          <w:tcPr>
            <w:tcW w:type="dxa" w:w="2340"/>
          </w:tcPr>
          <w:p>
            <w:r>
              <w:rPr>
                <w:rFonts w:ascii="Times New Roman" w:hAnsi="Times New Roman"/>
                <w:sz w:val="21"/>
              </w:rPr>
              <w:t>minimo</w:t>
            </w:r>
          </w:p>
        </w:tc>
        <w:tc>
          <w:tcPr>
            <w:tcW w:type="dxa" w:w="2340"/>
          </w:tcPr>
          <w:p>
            <w:r>
              <w:rPr>
                <w:rFonts w:ascii="Times New Roman" w:hAnsi="Times New Roman"/>
                <w:sz w:val="21"/>
              </w:rPr>
              <w:t>0.0000</w:t>
            </w:r>
          </w:p>
        </w:tc>
        <w:tc>
          <w:tcPr>
            <w:tcW w:type="dxa" w:w="2340"/>
          </w:tcPr>
          <w:p>
            <w:r>
              <w:rPr>
                <w:rFonts w:ascii="Times New Roman" w:hAnsi="Times New Roman"/>
                <w:sz w:val="21"/>
              </w:rPr>
              <w:t>0.0000</w:t>
            </w:r>
          </w:p>
        </w:tc>
        <w:tc>
          <w:tcPr>
            <w:tcW w:type="dxa" w:w="2340"/>
          </w:tcPr>
          <w:p>
            <w:r>
              <w:rPr>
                <w:rFonts w:ascii="Times New Roman" w:hAnsi="Times New Roman"/>
                <w:sz w:val="21"/>
              </w:rPr>
              <w:t>-0.0478</w:t>
            </w:r>
          </w:p>
        </w:tc>
      </w:tr>
      <w:tr>
        <w:tc>
          <w:tcPr>
            <w:tcW w:type="dxa" w:w="2340"/>
          </w:tcPr>
          <w:p>
            <w:r>
              <w:rPr>
                <w:rFonts w:ascii="Times New Roman" w:hAnsi="Times New Roman"/>
                <w:sz w:val="21"/>
              </w:rPr>
              <w:t>maximo</w:t>
            </w:r>
          </w:p>
        </w:tc>
        <w:tc>
          <w:tcPr>
            <w:tcW w:type="dxa" w:w="2340"/>
          </w:tcPr>
          <w:p>
            <w:r>
              <w:rPr>
                <w:rFonts w:ascii="Times New Roman" w:hAnsi="Times New Roman"/>
                <w:sz w:val="21"/>
              </w:rPr>
              <w:t>3.0000</w:t>
            </w:r>
          </w:p>
        </w:tc>
        <w:tc>
          <w:tcPr>
            <w:tcW w:type="dxa" w:w="2340"/>
          </w:tcPr>
          <w:p>
            <w:r>
              <w:rPr>
                <w:rFonts w:ascii="Times New Roman" w:hAnsi="Times New Roman"/>
                <w:sz w:val="21"/>
              </w:rPr>
              <w:t>2.5000</w:t>
            </w:r>
          </w:p>
        </w:tc>
        <w:tc>
          <w:tcPr>
            <w:tcW w:type="dxa" w:w="2340"/>
          </w:tcPr>
          <w:p>
            <w:r>
              <w:rPr>
                <w:rFonts w:ascii="Times New Roman" w:hAnsi="Times New Roman"/>
                <w:sz w:val="21"/>
              </w:rPr>
              <w:t>2.5000</w:t>
            </w:r>
          </w:p>
        </w:tc>
      </w:tr>
    </w:tbl>
    <w:p/>
    <w:p>
      <w:pPr>
        <w:jc w:val="both"/>
      </w:pPr>
      <w:r>
        <w:rPr>
          <w:rFonts w:ascii="Times New Roman" w:hAnsi="Times New Roman"/>
          <w:sz w:val="24"/>
        </w:rPr>
        <w:t>Ambas tecnicas reducen la desviacion estandar respecto al original. La imputacion por regresion produce valores continuos cercanos a cero, compatibles con la moda de la variable pero con variabilidad que captura la relacion multivariada con age, thalach y oldpeak. La imputacion por mediana, en cambio, replica el valor cero y refuerza el sesgo. Por esta razon se conserva el dataset imputado por regresion bayesiana para el segundo entregable.</w:t>
      </w:r>
    </w:p>
    <w:p>
      <w:pPr>
        <w:ind w:firstLine="0"/>
        <w:jc w:val="center"/>
      </w:pPr>
      <w:r>
        <w:drawing>
          <wp:inline xmlns:a="http://schemas.openxmlformats.org/drawingml/2006/main" xmlns:pic="http://schemas.openxmlformats.org/drawingml/2006/picture">
            <wp:extent cx="5486400" cy="4849310"/>
            <wp:docPr id="7" name="Picture 7"/>
            <wp:cNvGraphicFramePr>
              <a:graphicFrameLocks noChangeAspect="1"/>
            </wp:cNvGraphicFramePr>
            <a:graphic>
              <a:graphicData uri="http://schemas.openxmlformats.org/drawingml/2006/picture">
                <pic:pic>
                  <pic:nvPicPr>
                    <pic:cNvPr id="0" name="07_matriz_correlacion.png"/>
                    <pic:cNvPicPr/>
                  </pic:nvPicPr>
                  <pic:blipFill>
                    <a:blip r:embed="rId16"/>
                    <a:stretch>
                      <a:fillRect/>
                    </a:stretch>
                  </pic:blipFill>
                  <pic:spPr>
                    <a:xfrm>
                      <a:off x="0" y="0"/>
                      <a:ext cx="5486400" cy="4849310"/>
                    </a:xfrm>
                    <a:prstGeom prst="rect"/>
                  </pic:spPr>
                </pic:pic>
              </a:graphicData>
            </a:graphic>
          </wp:inline>
        </w:drawing>
      </w:r>
    </w:p>
    <w:p>
      <w:pPr>
        <w:ind w:firstLine="0"/>
        <w:jc w:val="left"/>
      </w:pPr>
      <w:r>
        <w:rPr>
          <w:rFonts w:ascii="Times New Roman" w:hAnsi="Times New Roman"/>
          <w:b/>
          <w:sz w:val="22"/>
        </w:rPr>
        <w:t>Figura 7</w:t>
        <w:br/>
      </w:r>
      <w:r>
        <w:rPr>
          <w:rFonts w:ascii="Times New Roman" w:hAnsi="Times New Roman"/>
          <w:i/>
          <w:sz w:val="22"/>
        </w:rPr>
        <w:t>Matriz de correlacion del dataset preprocesado. Elaboracion propia.</w:t>
      </w:r>
    </w:p>
    <w:p>
      <w:r>
        <w:br w:type="page"/>
      </w:r>
    </w:p>
    <w:p>
      <w:pPr>
        <w:spacing w:before="120" w:after="120"/>
        <w:ind w:firstLine="0"/>
        <w:jc w:val="center"/>
      </w:pPr>
      <w:r>
        <w:rPr>
          <w:rFonts w:ascii="Times New Roman" w:hAnsi="Times New Roman"/>
          <w:b/>
          <w:sz w:val="28"/>
        </w:rPr>
        <w:t>Conclusiones</w:t>
      </w:r>
    </w:p>
    <w:p>
      <w:pPr>
        <w:jc w:val="both"/>
      </w:pPr>
      <w:r>
        <w:rPr>
          <w:rFonts w:ascii="Times New Roman" w:hAnsi="Times New Roman"/>
          <w:sz w:val="24"/>
        </w:rPr>
        <w:t>El analisis exploratorio del dataset Heart Disease evidencio la importancia del preprocesamiento en la fase temprana de un proyecto de ciencia de datos. Las seis variables numericas analizadas son no normales, lo que obligo a privilegiar estadisticos robustos como la mediana y el IQR.</w:t>
      </w:r>
    </w:p>
    <w:p>
      <w:pPr>
        <w:jc w:val="both"/>
      </w:pPr>
      <w:r>
        <w:rPr>
          <w:rFonts w:ascii="Times New Roman" w:hAnsi="Times New Roman"/>
          <w:sz w:val="24"/>
        </w:rPr>
        <w:t>La prueba de rachas revelo que el patron de nulos en la variable ca no es completamente aleatorio, lo que justifica el uso de imputacion multivariada en lugar de imputacion por tendencia central. La comparacion entre ambas tecnicas mostro que la imputacion por regresion bayesiana iterativa preserva mejor la varianza original.</w:t>
      </w:r>
    </w:p>
    <w:p>
      <w:pPr>
        <w:jc w:val="both"/>
      </w:pPr>
      <w:r>
        <w:rPr>
          <w:rFonts w:ascii="Times New Roman" w:hAnsi="Times New Roman"/>
          <w:sz w:val="24"/>
        </w:rPr>
        <w:t>El tratamiento de outliers mediante capping permitio conservar el tamano muestral integro (n = 303) sin sacrificar el control de los valores extremos. Esta decision es especialmente relevante en datasets clinicos donde cada paciente aporta evidencia.</w:t>
      </w:r>
    </w:p>
    <w:p>
      <w:pPr>
        <w:jc w:val="both"/>
      </w:pPr>
      <w:r>
        <w:rPr>
          <w:rFonts w:ascii="Times New Roman" w:hAnsi="Times New Roman"/>
          <w:sz w:val="24"/>
        </w:rPr>
        <w:t>El dataset preprocesado, persistido como heart_disease_preprocesado.csv, esta listo para la siguiente fase del proyecto: la reduccion de dimensionalidad mediante PCA, la seleccion de caracteristicas por correlacion y el entrenamiento comparativo de al menos dos modelos supervisados (regresion logistica y arboles de decision).</w:t>
      </w:r>
    </w:p>
    <w:p>
      <w:r>
        <w:br w:type="page"/>
      </w:r>
    </w:p>
    <w:p>
      <w:pPr>
        <w:spacing w:before="120" w:after="120"/>
        <w:ind w:firstLine="0"/>
        <w:jc w:val="center"/>
      </w:pPr>
      <w:r>
        <w:rPr>
          <w:rFonts w:ascii="Times New Roman" w:hAnsi="Times New Roman"/>
          <w:b/>
          <w:sz w:val="28"/>
        </w:rPr>
        <w:t>Referencias</w:t>
      </w:r>
    </w:p>
    <w:p>
      <w:pPr>
        <w:ind w:left="720" w:hanging="720"/>
        <w:jc w:val="both"/>
      </w:pPr>
      <w:r>
        <w:rPr>
          <w:rFonts w:ascii="Times New Roman" w:hAnsi="Times New Roman"/>
          <w:sz w:val="24"/>
        </w:rPr>
        <w:t>Chapman, P., Clinton, J., Kerber, R., Khabaza, T., Reinartz, T., Shearer, C., y Wirth, R. (2000). CRISP-DM 1.0: Step-by-step data mining guide. SPSS Inc.</w:t>
      </w:r>
    </w:p>
    <w:p>
      <w:pPr>
        <w:ind w:left="720" w:hanging="720"/>
        <w:jc w:val="both"/>
      </w:pPr>
      <w:r>
        <w:rPr>
          <w:rFonts w:ascii="Times New Roman" w:hAnsi="Times New Roman"/>
          <w:sz w:val="24"/>
        </w:rPr>
        <w:t>Detrano, R., Janosi, A., Steinbrunn, W., Pfisterer, M., Schmid, J. J., Sandhu, S., Guppy, K. H., Lee, S., y Froelicher, V. (1989). International application of a new probability algorithm for the diagnosis of coronary artery disease. The American Journal of Cardiology, 64(5), 304-310. https://doi.org/10.1016/0002-9149(89)90524-9</w:t>
      </w:r>
    </w:p>
    <w:p>
      <w:pPr>
        <w:ind w:left="720" w:hanging="720"/>
        <w:jc w:val="both"/>
      </w:pPr>
      <w:r>
        <w:rPr>
          <w:rFonts w:ascii="Times New Roman" w:hAnsi="Times New Roman"/>
          <w:sz w:val="24"/>
        </w:rPr>
        <w:t>Dua, D., y Graff, C. (2019). UCI Machine Learning Repository. University of California, Irvine, School of Information and Computer Sciences. https://archive.ics.uci.edu/ml/datasets/Heart+Disease</w:t>
      </w:r>
    </w:p>
    <w:p>
      <w:pPr>
        <w:ind w:left="720" w:hanging="720"/>
        <w:jc w:val="both"/>
      </w:pPr>
      <w:r>
        <w:rPr>
          <w:rFonts w:ascii="Times New Roman" w:hAnsi="Times New Roman"/>
          <w:sz w:val="24"/>
        </w:rPr>
        <w:t>Pedregosa, F., Varoquaux, G., Gramfort, A., Michel, V., Thirion, B., Grisel, O., et al. (2011). Scikit-learn: Machine learning in Python. Journal of Machine Learning Research, 12, 2825-2830.</w:t>
      </w:r>
    </w:p>
    <w:p>
      <w:pPr>
        <w:ind w:left="720" w:hanging="720"/>
        <w:jc w:val="both"/>
      </w:pPr>
      <w:r>
        <w:rPr>
          <w:rFonts w:ascii="Times New Roman" w:hAnsi="Times New Roman"/>
          <w:sz w:val="24"/>
        </w:rPr>
        <w:t>Rubin, D. B. (1976). Inference and missing data. Biometrika, 63(3), 581-592. https://doi.org/10.1093/biomet/63.3.581</w:t>
      </w:r>
    </w:p>
    <w:p>
      <w:pPr>
        <w:ind w:left="720" w:hanging="720"/>
        <w:jc w:val="both"/>
      </w:pPr>
      <w:r>
        <w:rPr>
          <w:rFonts w:ascii="Times New Roman" w:hAnsi="Times New Roman"/>
          <w:sz w:val="24"/>
        </w:rPr>
        <w:t>Shapiro, S. S., y Wilk, M. B. (1965). An analysis of variance test for normality (complete samples). Biometrika, 52(3-4), 591-611. https://doi.org/10.1093/biomet/52.3-4.591</w:t>
      </w:r>
    </w:p>
    <w:p>
      <w:pPr>
        <w:ind w:left="720" w:hanging="720"/>
        <w:jc w:val="both"/>
      </w:pPr>
      <w:r>
        <w:rPr>
          <w:rFonts w:ascii="Times New Roman" w:hAnsi="Times New Roman"/>
          <w:sz w:val="24"/>
        </w:rPr>
        <w:t>Tukey, J. W. (1977). Exploratory data analysis. Addison-Wesley.</w:t>
      </w:r>
    </w:p>
    <w:p>
      <w:pPr>
        <w:ind w:left="720" w:hanging="720"/>
        <w:jc w:val="both"/>
      </w:pPr>
      <w:r>
        <w:rPr>
          <w:rFonts w:ascii="Times New Roman" w:hAnsi="Times New Roman"/>
          <w:sz w:val="24"/>
        </w:rPr>
        <w:t>van Buuren, S. (2018). Flexible imputation of missing data (2.a ed.). Chapman and Hall/CRC. https://doi.org/10.1201/9780429492259</w:t>
      </w:r>
    </w:p>
    <w:p>
      <w:pPr>
        <w:ind w:left="720" w:hanging="720"/>
        <w:jc w:val="both"/>
      </w:pPr>
      <w:r>
        <w:rPr>
          <w:rFonts w:ascii="Times New Roman" w:hAnsi="Times New Roman"/>
          <w:sz w:val="24"/>
        </w:rPr>
        <w:t>Wald, A., y Wolfowitz, J. (1940). On a test whether two samples are from the same population. The Annals of Mathematical Statistics, 11(2), 147-162. https://doi.org/10.1214/aoms/1177731909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