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Times New Roman" w:hAnsi="Times New Roman"/>
          <w:b/>
          <w:sz w:val="28"/>
        </w:rPr>
        <w:t>Reduccion de Dimensionalidad y Modelamiento Supervisado</w:t>
        <w:br/>
        <w:t>sobre el Dataset Heart Disease (UCI)</w:t>
        <w:br/>
        <w:br/>
        <w:t>Entregable 2</w:t>
      </w:r>
    </w:p>
    <w:p/>
    <w:p/>
    <w:p>
      <w:pPr>
        <w:ind w:firstLine="0"/>
        <w:jc w:val="center"/>
      </w:pPr>
      <w:r>
        <w:rPr>
          <w:rFonts w:ascii="Times New Roman" w:hAnsi="Times New Roman"/>
          <w:sz w:val="24"/>
        </w:rPr>
        <w:t>Jaime Alzate</w:t>
      </w:r>
    </w:p>
    <w:p>
      <w:pPr>
        <w:ind w:firstLine="0"/>
        <w:jc w:val="center"/>
      </w:pPr>
      <w:r>
        <w:rPr>
          <w:rFonts w:ascii="Times New Roman" w:hAnsi="Times New Roman"/>
          <w:sz w:val="24"/>
        </w:rPr>
      </w:r>
    </w:p>
    <w:p>
      <w:pPr>
        <w:ind w:firstLine="0"/>
        <w:jc w:val="center"/>
      </w:pPr>
      <w:r>
        <w:rPr>
          <w:rFonts w:ascii="Times New Roman" w:hAnsi="Times New Roman"/>
          <w:sz w:val="24"/>
        </w:rPr>
        <w:t>Programa de Desarrollo de Software, Noveno Semestre</w:t>
      </w:r>
    </w:p>
    <w:p>
      <w:pPr>
        <w:ind w:firstLine="0"/>
        <w:jc w:val="center"/>
      </w:pPr>
      <w:r>
        <w:rPr>
          <w:rFonts w:ascii="Times New Roman" w:hAnsi="Times New Roman"/>
          <w:sz w:val="24"/>
        </w:rPr>
        <w:t>Seminario de Ciencia de los Datos</w:t>
      </w:r>
    </w:p>
    <w:p>
      <w:pPr>
        <w:ind w:firstLine="0"/>
        <w:jc w:val="center"/>
      </w:pPr>
      <w:r>
        <w:rPr>
          <w:rFonts w:ascii="Times New Roman" w:hAnsi="Times New Roman"/>
          <w:sz w:val="24"/>
        </w:rPr>
        <w:t>Docente: [Nombre del docente]</w:t>
      </w:r>
    </w:p>
    <w:p>
      <w:pPr>
        <w:ind w:firstLine="0"/>
        <w:jc w:val="center"/>
      </w:pPr>
      <w:r>
        <w:rPr>
          <w:rFonts w:ascii="Times New Roman" w:hAnsi="Times New Roman"/>
          <w:sz w:val="24"/>
        </w:rPr>
        <w:t>20 de mayo de 2026</w:t>
      </w:r>
    </w:p>
    <w:p>
      <w:r>
        <w:br w:type="page"/>
      </w:r>
    </w:p>
    <w:p>
      <w:pPr>
        <w:spacing w:before="120" w:after="120"/>
        <w:ind w:firstLine="0"/>
        <w:jc w:val="center"/>
      </w:pPr>
      <w:r>
        <w:rPr>
          <w:rFonts w:ascii="Times New Roman" w:hAnsi="Times New Roman"/>
          <w:b/>
          <w:sz w:val="28"/>
        </w:rPr>
        <w:t>Resumen</w:t>
      </w:r>
    </w:p>
    <w:p>
      <w:pPr>
        <w:jc w:val="both"/>
      </w:pPr>
      <w:r>
        <w:rPr>
          <w:rFonts w:ascii="Times New Roman" w:hAnsi="Times New Roman"/>
          <w:sz w:val="24"/>
        </w:rPr>
        <w:t>El presente entregable da continuidad al analisis exploratorio del dataset Heart Disease (Cleveland), profundizando en las fases avanzadas del proceso CRISP-DM: Preparacion de los Datos, Modelado y Evaluacion. Se aplico Analisis de Componentes Principales (PCA) sobre las 13 variables predictoras estandarizadas, encontrando que ocho componentes preservan el 80% de la varianza original. Se complementa con un metodo de filtro por correlacion de Pearson para identificar las cinco variables mas asociadas al diagnostico de enfermedad coronaria. Finalmente, se entrenaron y compararon dos modelos supervisados de clasificacion binaria: Regresion Logistica y Arbol de Decision. La Regresion Logistica obtuvo un mejor desempeno en todas las metricas evaluadas (accuracy = 0.85, F1 = 0.85 y ROC-AUC = 0.95), superando al Arbol de Decision (accuracy = 0.80, F1 = 0.80, ROC-AUC = 0.81). Los resultados confirman que un preprocesamiento riguroso, sumado a una seleccion adecuada del modelo, produce un clasificador clinicamente util para apoyar la deteccion temprana de enfermedad cardiaca.</w:t>
      </w:r>
    </w:p>
    <w:p>
      <w:pPr>
        <w:jc w:val="both"/>
      </w:pPr>
      <w:r>
        <w:rPr>
          <w:rFonts w:ascii="Times New Roman" w:hAnsi="Times New Roman"/>
          <w:sz w:val="24"/>
        </w:rPr>
        <w:t>Palabras clave: PCA, seleccion de caracteristicas, regresion logistica, arbol de decision, clasificacion clinica.</w:t>
      </w:r>
    </w:p>
    <w:p>
      <w:r>
        <w:br w:type="page"/>
      </w:r>
    </w:p>
    <w:p>
      <w:pPr>
        <w:spacing w:before="120" w:after="120"/>
        <w:ind w:firstLine="0"/>
        <w:jc w:val="center"/>
      </w:pPr>
      <w:r>
        <w:rPr>
          <w:rFonts w:ascii="Times New Roman" w:hAnsi="Times New Roman"/>
          <w:b/>
          <w:sz w:val="28"/>
        </w:rPr>
        <w:t>Introduccion</w:t>
      </w:r>
    </w:p>
    <w:p>
      <w:pPr>
        <w:jc w:val="both"/>
      </w:pPr>
      <w:r>
        <w:rPr>
          <w:rFonts w:ascii="Times New Roman" w:hAnsi="Times New Roman"/>
          <w:sz w:val="24"/>
        </w:rPr>
        <w:t>Tras la fase de comprension y preparacion documentada en el primer entregable, el segundo entregable aborda dos retos: simplificar la estructura del dataset mediante reduccion de dimensionalidad y construir modelos predictivos que cuantifiquen el aporte del preprocesamiento realizado. La reduccion dimensional es una etapa metodologica clave cuando se trabaja con variables correlacionadas, pues permite aislar la varianza relevante, mitigar el riesgo de sobreajuste y facilitar la interpretacion de los resultados (Jolliffe, 2002).</w:t>
      </w:r>
    </w:p>
    <w:p>
      <w:pPr>
        <w:jc w:val="both"/>
      </w:pPr>
      <w:r>
        <w:rPr>
          <w:rFonts w:ascii="Times New Roman" w:hAnsi="Times New Roman"/>
          <w:sz w:val="24"/>
        </w:rPr>
        <w:t>En el ambito clinico, los modelos supervisados sobre datos cardiologicos deben balancear poder predictivo e interpretabilidad. Un medico no solo necesita saber si un paciente esta clasificado como en riesgo, sino tambien que variables y en que magnitud lo determinan. Por ello, en este trabajo se comparan dos enfoques complementarios: la Regresion Logistica como representante de los modelos parametricos lineales y el Arbol de Decision como ejemplo de modelo no parametrico basado en reglas.</w:t>
      </w:r>
    </w:p>
    <w:p>
      <w:pPr>
        <w:spacing w:before="120" w:after="120"/>
        <w:ind w:firstLine="0"/>
      </w:pPr>
      <w:r>
        <w:rPr>
          <w:rFonts w:ascii="Times New Roman" w:hAnsi="Times New Roman"/>
          <w:b/>
          <w:sz w:val="26"/>
        </w:rPr>
        <w:t>Objetivos</w:t>
      </w:r>
    </w:p>
    <w:p>
      <w:pPr>
        <w:spacing w:before="120" w:after="120"/>
        <w:ind w:firstLine="0"/>
      </w:pPr>
      <w:r>
        <w:rPr>
          <w:rFonts w:ascii="Times New Roman" w:hAnsi="Times New Roman"/>
          <w:b/>
          <w:sz w:val="24"/>
        </w:rPr>
        <w:t>Objetivo general</w:t>
      </w:r>
    </w:p>
    <w:p>
      <w:pPr>
        <w:jc w:val="both"/>
      </w:pPr>
      <w:r>
        <w:rPr>
          <w:rFonts w:ascii="Times New Roman" w:hAnsi="Times New Roman"/>
          <w:sz w:val="24"/>
        </w:rPr>
        <w:t>Aplicar tecnicas avanzadas de reduccion dimensional y modelamiento supervisado al dataset Heart Disease preprocesado, evaluando el aporte del proceso de limpieza realizado en el primer entregable.</w:t>
      </w:r>
    </w:p>
    <w:p>
      <w:pPr>
        <w:spacing w:before="120" w:after="120"/>
        <w:ind w:firstLine="0"/>
      </w:pPr>
      <w:r>
        <w:rPr>
          <w:rFonts w:ascii="Times New Roman" w:hAnsi="Times New Roman"/>
          <w:b/>
          <w:sz w:val="24"/>
        </w:rPr>
        <w:t>Objetivos especificos</w:t>
      </w:r>
    </w:p>
    <w:p>
      <w:pPr>
        <w:pStyle w:val="ListBullet"/>
        <w:ind w:firstLine="0"/>
        <w:jc w:val="both"/>
      </w:pPr>
      <w:r>
        <w:rPr>
          <w:rFonts w:ascii="Times New Roman" w:hAnsi="Times New Roman"/>
          <w:sz w:val="24"/>
        </w:rPr>
        <w:t>Ejecutar PCA sobre las variables estandarizadas y determinar cuantos componentes son necesarios para preservar al menos el 80% de la varianza.</w:t>
      </w:r>
    </w:p>
    <w:p>
      <w:pPr>
        <w:pStyle w:val="ListBullet"/>
        <w:ind w:firstLine="0"/>
        <w:jc w:val="both"/>
      </w:pPr>
      <w:r>
        <w:rPr>
          <w:rFonts w:ascii="Times New Roman" w:hAnsi="Times New Roman"/>
          <w:sz w:val="24"/>
        </w:rPr>
        <w:t>Identificar las cinco variables mas correlacionadas con la variable objetivo mediante un metodo de filtro de Pearson.</w:t>
      </w:r>
    </w:p>
    <w:p>
      <w:pPr>
        <w:pStyle w:val="ListBullet"/>
        <w:ind w:firstLine="0"/>
        <w:jc w:val="both"/>
      </w:pPr>
      <w:r>
        <w:rPr>
          <w:rFonts w:ascii="Times New Roman" w:hAnsi="Times New Roman"/>
          <w:sz w:val="24"/>
        </w:rPr>
        <w:t>Entrenar y comparar Regresion Logistica y Arbol de Decision mediante metricas de clasificacion estandar.</w:t>
      </w:r>
    </w:p>
    <w:p>
      <w:pPr>
        <w:pStyle w:val="ListBullet"/>
        <w:ind w:firstLine="0"/>
        <w:jc w:val="both"/>
      </w:pPr>
      <w:r>
        <w:rPr>
          <w:rFonts w:ascii="Times New Roman" w:hAnsi="Times New Roman"/>
          <w:sz w:val="24"/>
        </w:rPr>
        <w:t>Reflexionar sobre el impacto del preprocesamiento en el desempeno final del modelo.</w:t>
      </w:r>
    </w:p>
    <w:p>
      <w:r>
        <w:br w:type="page"/>
      </w:r>
    </w:p>
    <w:p>
      <w:pPr>
        <w:spacing w:before="120" w:after="120"/>
        <w:ind w:firstLine="0"/>
        <w:jc w:val="center"/>
      </w:pPr>
      <w:r>
        <w:rPr>
          <w:rFonts w:ascii="Times New Roman" w:hAnsi="Times New Roman"/>
          <w:b/>
          <w:sz w:val="28"/>
        </w:rPr>
        <w:t>Marco Teorico</w:t>
      </w:r>
    </w:p>
    <w:p>
      <w:pPr>
        <w:spacing w:before="120" w:after="120"/>
        <w:ind w:firstLine="0"/>
      </w:pPr>
      <w:r>
        <w:rPr>
          <w:rFonts w:ascii="Times New Roman" w:hAnsi="Times New Roman"/>
          <w:b/>
          <w:sz w:val="26"/>
        </w:rPr>
        <w:t>Analisis de Componentes Principales</w:t>
      </w:r>
    </w:p>
    <w:p>
      <w:pPr>
        <w:jc w:val="both"/>
      </w:pPr>
      <w:r>
        <w:rPr>
          <w:rFonts w:ascii="Times New Roman" w:hAnsi="Times New Roman"/>
          <w:sz w:val="24"/>
        </w:rPr>
        <w:t>El Analisis de Componentes Principales (PCA) es una tecnica no supervisada de reduccion de dimensionalidad que proyecta las observaciones sobre un conjunto nuevo de variables ortogonales (componentes principales), ordenadas por la varianza que explican. Matematicamente, los componentes se obtienen como los vectores propios de la matriz de covarianza de los datos estandarizados, y la varianza explicada por cada componente corresponde a su valor propio asociado (Jolliffe, 2002). La regla del 80% de varianza acumulada y el criterio del codo (scree plot) son las heuristicas mas utilizadas para elegir el numero de componentes a retener.</w:t>
      </w:r>
    </w:p>
    <w:p>
      <w:pPr>
        <w:spacing w:before="120" w:after="120"/>
        <w:ind w:firstLine="0"/>
      </w:pPr>
      <w:r>
        <w:rPr>
          <w:rFonts w:ascii="Times New Roman" w:hAnsi="Times New Roman"/>
          <w:b/>
          <w:sz w:val="26"/>
        </w:rPr>
        <w:t>Seleccion de caracteristicas por filtro</w:t>
      </w:r>
    </w:p>
    <w:p>
      <w:pPr>
        <w:jc w:val="both"/>
      </w:pPr>
      <w:r>
        <w:rPr>
          <w:rFonts w:ascii="Times New Roman" w:hAnsi="Times New Roman"/>
          <w:sz w:val="24"/>
        </w:rPr>
        <w:t>Los metodos de filtro evaluan la relevancia de cada feature de manera independiente al modelo, usando criterios estadisticos como la correlacion de Pearson, el chi-cuadrado o la informacion mutua (Guyon y Elisseeff, 2003). Son rapidos, no dependen del clasificador y son utiles como paso previo o como complemento a metodos wrapper. En este trabajo se uso la correlacion de Pearson por su sencillez y su alineacion natural con la hipotesis lineal que asumira la regresion logistica.</w:t>
      </w:r>
    </w:p>
    <w:p>
      <w:pPr>
        <w:spacing w:before="120" w:after="120"/>
        <w:ind w:firstLine="0"/>
      </w:pPr>
      <w:r>
        <w:rPr>
          <w:rFonts w:ascii="Times New Roman" w:hAnsi="Times New Roman"/>
          <w:b/>
          <w:sz w:val="26"/>
        </w:rPr>
        <w:t>Modelos supervisados</w:t>
      </w:r>
    </w:p>
    <w:p>
      <w:pPr>
        <w:jc w:val="both"/>
      </w:pPr>
      <w:r>
        <w:rPr>
          <w:rFonts w:ascii="Times New Roman" w:hAnsi="Times New Roman"/>
          <w:sz w:val="24"/>
        </w:rPr>
        <w:t>La Regresion Logistica modela el logaritmo del odds-ratio como una combinacion lineal de las features, devolviendo una probabilidad mediante la funcion sigmoide. Sus coeficientes son directamente interpretables como cambios en odds-ratios por unidad de la variable (Hastie et al., 2009). El Arbol de Decision, en cambio, particiona el espacio de features en regiones rectangulares optimizando una medida de impureza (Gini o entropia). Es no lineal, captura interacciones automaticamente, pero es propenso al sobreajuste si no se controla la profundidad o la regularizacion.</w:t>
      </w:r>
    </w:p>
    <w:p>
      <w:r>
        <w:br w:type="page"/>
      </w:r>
    </w:p>
    <w:p>
      <w:pPr>
        <w:spacing w:before="120" w:after="120"/>
        <w:ind w:firstLine="0"/>
        <w:jc w:val="center"/>
      </w:pPr>
      <w:r>
        <w:rPr>
          <w:rFonts w:ascii="Times New Roman" w:hAnsi="Times New Roman"/>
          <w:b/>
          <w:sz w:val="28"/>
        </w:rPr>
        <w:t>Metodologia</w:t>
      </w:r>
    </w:p>
    <w:p>
      <w:pPr>
        <w:jc w:val="both"/>
      </w:pPr>
      <w:r>
        <w:rPr>
          <w:rFonts w:ascii="Times New Roman" w:hAnsi="Times New Roman"/>
          <w:sz w:val="24"/>
        </w:rPr>
        <w:t>El analisis se desarrollo en Python 3.13 con las librerias pandas, numpy, scikit-learn, scipy, matplotlib y seaborn. El notebook adjunto reconstruye el preprocesamiento del primer entregable para ser totalmente autocontenido. El procedimiento seguido cubre los topicos VI a VIII del cronograma del seminario.</w:t>
      </w:r>
    </w:p>
    <w:p>
      <w:pPr>
        <w:spacing w:before="120" w:after="120"/>
        <w:ind w:firstLine="0"/>
      </w:pPr>
      <w:r>
        <w:rPr>
          <w:rFonts w:ascii="Times New Roman" w:hAnsi="Times New Roman"/>
          <w:b/>
          <w:sz w:val="26"/>
        </w:rPr>
        <w:t>Particion del dataset y semilla</w:t>
      </w:r>
    </w:p>
    <w:p>
      <w:pPr>
        <w:jc w:val="both"/>
      </w:pPr>
      <w:r>
        <w:rPr>
          <w:rFonts w:ascii="Times New Roman" w:hAnsi="Times New Roman"/>
          <w:sz w:val="24"/>
        </w:rPr>
        <w:t>El dataset preprocesado se dividio en 80% de entrenamiento (242 observaciones) y 20% de prueba (61 observaciones) usando un muestreo estratificado por la variable objetivo para preservar la proporcion de clases en ambos conjuntos. Se fijo random_state = 42 para garantizar la reproducibilidad de los resultados.</w:t>
      </w:r>
    </w:p>
    <w:p>
      <w:pPr>
        <w:spacing w:before="120" w:after="120"/>
        <w:ind w:firstLine="0"/>
      </w:pPr>
      <w:r>
        <w:rPr>
          <w:rFonts w:ascii="Times New Roman" w:hAnsi="Times New Roman"/>
          <w:b/>
          <w:sz w:val="26"/>
        </w:rPr>
        <w:t>Hiperparametros y escalado</w:t>
      </w:r>
    </w:p>
    <w:p>
      <w:pPr>
        <w:jc w:val="both"/>
      </w:pPr>
      <w:r>
        <w:rPr>
          <w:rFonts w:ascii="Times New Roman" w:hAnsi="Times New Roman"/>
          <w:sz w:val="24"/>
        </w:rPr>
        <w:t>La Regresion Logistica se entreno con max_iter = 2000 sobre las features escaladas (StandardScaler) para garantizar la convergencia y la comparabilidad de los coeficientes. El Arbol de Decision se limito a max_depth = 5 para mitigar el sobreajuste, con class_weight balanceado frente al desbalance ligero de la variable objetivo. Las metricas de evaluacion incluyen accuracy, precision, recall, F1-score y ROC-AUC, complementadas con validacion cruzada de cinco pliegues sobre el conjunto de entrenamiento.</w:t>
      </w:r>
    </w:p>
    <w:p>
      <w:r>
        <w:br w:type="page"/>
      </w:r>
    </w:p>
    <w:p>
      <w:pPr>
        <w:spacing w:before="120" w:after="120"/>
        <w:ind w:firstLine="0"/>
        <w:jc w:val="center"/>
      </w:pPr>
      <w:r>
        <w:rPr>
          <w:rFonts w:ascii="Times New Roman" w:hAnsi="Times New Roman"/>
          <w:b/>
          <w:sz w:val="28"/>
        </w:rPr>
        <w:t>Resultados</w:t>
      </w:r>
    </w:p>
    <w:p>
      <w:pPr>
        <w:spacing w:before="120" w:after="120"/>
        <w:ind w:firstLine="0"/>
      </w:pPr>
      <w:r>
        <w:rPr>
          <w:rFonts w:ascii="Times New Roman" w:hAnsi="Times New Roman"/>
          <w:b/>
          <w:sz w:val="26"/>
        </w:rPr>
        <w:t>VI. Analisis de Componentes Principales</w:t>
      </w:r>
    </w:p>
    <w:p>
      <w:pPr>
        <w:jc w:val="both"/>
      </w:pPr>
      <w:r>
        <w:rPr>
          <w:rFonts w:ascii="Times New Roman" w:hAnsi="Times New Roman"/>
          <w:sz w:val="24"/>
        </w:rPr>
        <w:t>Se aplico PCA sobre las 13 variables predictoras previamente estandarizadas. La Figura 1 muestra el scree plot con la varianza individual y acumulada de cada componente, asi como la proyeccion 2D sobre los dos primeros componentes coloreada por la variable objetivo.</w:t>
      </w:r>
    </w:p>
    <w:p>
      <w:pPr>
        <w:ind w:firstLine="0"/>
        <w:jc w:val="center"/>
      </w:pPr>
      <w:r>
        <w:drawing>
          <wp:inline xmlns:a="http://schemas.openxmlformats.org/drawingml/2006/main" xmlns:pic="http://schemas.openxmlformats.org/drawingml/2006/picture">
            <wp:extent cx="5486400" cy="1906340"/>
            <wp:docPr id="1" name="Picture 1"/>
            <wp:cNvGraphicFramePr>
              <a:graphicFrameLocks noChangeAspect="1"/>
            </wp:cNvGraphicFramePr>
            <a:graphic>
              <a:graphicData uri="http://schemas.openxmlformats.org/drawingml/2006/picture">
                <pic:pic>
                  <pic:nvPicPr>
                    <pic:cNvPr id="0" name="01_pca_varianza.png"/>
                    <pic:cNvPicPr/>
                  </pic:nvPicPr>
                  <pic:blipFill>
                    <a:blip r:embed="rId10"/>
                    <a:stretch>
                      <a:fillRect/>
                    </a:stretch>
                  </pic:blipFill>
                  <pic:spPr>
                    <a:xfrm>
                      <a:off x="0" y="0"/>
                      <a:ext cx="5486400" cy="1906340"/>
                    </a:xfrm>
                    <a:prstGeom prst="rect"/>
                  </pic:spPr>
                </pic:pic>
              </a:graphicData>
            </a:graphic>
          </wp:inline>
        </w:drawing>
      </w:r>
    </w:p>
    <w:p>
      <w:pPr>
        <w:ind w:firstLine="0"/>
        <w:jc w:val="left"/>
      </w:pPr>
      <w:r>
        <w:rPr>
          <w:rFonts w:ascii="Times New Roman" w:hAnsi="Times New Roman"/>
          <w:b/>
          <w:sz w:val="22"/>
        </w:rPr>
        <w:t>Figura 1</w:t>
        <w:br/>
      </w:r>
      <w:r>
        <w:rPr>
          <w:rFonts w:ascii="Times New Roman" w:hAnsi="Times New Roman"/>
          <w:i/>
          <w:sz w:val="22"/>
        </w:rPr>
        <w:t>Scree plot de la varianza explicada (izquierda) y proyeccion 2D del dataset sobre los dos primeros componentes principales (derecha). Elaboracion propia.</w:t>
      </w:r>
    </w:p>
    <w:p>
      <w:pPr>
        <w:ind w:firstLine="0"/>
      </w:pPr>
      <w:r>
        <w:rPr>
          <w:rFonts w:ascii="Times New Roman" w:hAnsi="Times New Roman"/>
          <w:b/>
          <w:sz w:val="22"/>
        </w:rPr>
        <w:t>Tabla 1</w:t>
        <w:br/>
      </w:r>
      <w:r>
        <w:rPr>
          <w:rFonts w:ascii="Times New Roman" w:hAnsi="Times New Roman"/>
          <w:i/>
          <w:sz w:val="22"/>
        </w:rPr>
        <w:t>Varianza explicada por los primeros 10 componentes principales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1"/>
              </w:rPr>
              <w:t>Componente</w:t>
            </w:r>
          </w:p>
        </w:tc>
        <w:tc>
          <w:tcPr>
            <w:tcW w:type="dxa" w:w="3120"/>
          </w:tcPr>
          <w:p>
            <w:r>
              <w:rPr>
                <w:rFonts w:ascii="Times New Roman" w:hAnsi="Times New Roman"/>
                <w:b/>
                <w:sz w:val="21"/>
              </w:rPr>
              <w:t>Varianza individual</w:t>
            </w:r>
          </w:p>
        </w:tc>
        <w:tc>
          <w:tcPr>
            <w:tcW w:type="dxa" w:w="3120"/>
          </w:tcPr>
          <w:p>
            <w:r>
              <w:rPr>
                <w:rFonts w:ascii="Times New Roman" w:hAnsi="Times New Roman"/>
                <w:b/>
                <w:sz w:val="21"/>
              </w:rPr>
              <w:t>Varianza acumulada</w:t>
            </w:r>
          </w:p>
        </w:tc>
      </w:tr>
      <w:tr>
        <w:tc>
          <w:tcPr>
            <w:tcW w:type="dxa" w:w="3120"/>
          </w:tcPr>
          <w:p>
            <w:r>
              <w:rPr>
                <w:rFonts w:ascii="Times New Roman" w:hAnsi="Times New Roman"/>
                <w:sz w:val="21"/>
              </w:rPr>
              <w:t>PC1</w:t>
            </w:r>
          </w:p>
        </w:tc>
        <w:tc>
          <w:tcPr>
            <w:tcW w:type="dxa" w:w="3120"/>
          </w:tcPr>
          <w:p>
            <w:r>
              <w:rPr>
                <w:rFonts w:ascii="Times New Roman" w:hAnsi="Times New Roman"/>
                <w:sz w:val="21"/>
              </w:rPr>
              <w:t>0.2253</w:t>
            </w:r>
          </w:p>
        </w:tc>
        <w:tc>
          <w:tcPr>
            <w:tcW w:type="dxa" w:w="3120"/>
          </w:tcPr>
          <w:p>
            <w:r>
              <w:rPr>
                <w:rFonts w:ascii="Times New Roman" w:hAnsi="Times New Roman"/>
                <w:sz w:val="21"/>
              </w:rPr>
              <w:t>0.2253</w:t>
            </w:r>
          </w:p>
        </w:tc>
      </w:tr>
      <w:tr>
        <w:tc>
          <w:tcPr>
            <w:tcW w:type="dxa" w:w="3120"/>
          </w:tcPr>
          <w:p>
            <w:r>
              <w:rPr>
                <w:rFonts w:ascii="Times New Roman" w:hAnsi="Times New Roman"/>
                <w:sz w:val="21"/>
              </w:rPr>
              <w:t>PC2</w:t>
            </w:r>
          </w:p>
        </w:tc>
        <w:tc>
          <w:tcPr>
            <w:tcW w:type="dxa" w:w="3120"/>
          </w:tcPr>
          <w:p>
            <w:r>
              <w:rPr>
                <w:rFonts w:ascii="Times New Roman" w:hAnsi="Times New Roman"/>
                <w:sz w:val="21"/>
              </w:rPr>
              <w:t>0.1170</w:t>
            </w:r>
          </w:p>
        </w:tc>
        <w:tc>
          <w:tcPr>
            <w:tcW w:type="dxa" w:w="3120"/>
          </w:tcPr>
          <w:p>
            <w:r>
              <w:rPr>
                <w:rFonts w:ascii="Times New Roman" w:hAnsi="Times New Roman"/>
                <w:sz w:val="21"/>
              </w:rPr>
              <w:t>0.3423</w:t>
            </w:r>
          </w:p>
        </w:tc>
      </w:tr>
      <w:tr>
        <w:tc>
          <w:tcPr>
            <w:tcW w:type="dxa" w:w="3120"/>
          </w:tcPr>
          <w:p>
            <w:r>
              <w:rPr>
                <w:rFonts w:ascii="Times New Roman" w:hAnsi="Times New Roman"/>
                <w:sz w:val="21"/>
              </w:rPr>
              <w:t>PC3</w:t>
            </w:r>
          </w:p>
        </w:tc>
        <w:tc>
          <w:tcPr>
            <w:tcW w:type="dxa" w:w="3120"/>
          </w:tcPr>
          <w:p>
            <w:r>
              <w:rPr>
                <w:rFonts w:ascii="Times New Roman" w:hAnsi="Times New Roman"/>
                <w:sz w:val="21"/>
              </w:rPr>
              <w:t>0.0958</w:t>
            </w:r>
          </w:p>
        </w:tc>
        <w:tc>
          <w:tcPr>
            <w:tcW w:type="dxa" w:w="3120"/>
          </w:tcPr>
          <w:p>
            <w:r>
              <w:rPr>
                <w:rFonts w:ascii="Times New Roman" w:hAnsi="Times New Roman"/>
                <w:sz w:val="21"/>
              </w:rPr>
              <w:t>0.4381</w:t>
            </w:r>
          </w:p>
        </w:tc>
      </w:tr>
      <w:tr>
        <w:tc>
          <w:tcPr>
            <w:tcW w:type="dxa" w:w="3120"/>
          </w:tcPr>
          <w:p>
            <w:r>
              <w:rPr>
                <w:rFonts w:ascii="Times New Roman" w:hAnsi="Times New Roman"/>
                <w:sz w:val="21"/>
              </w:rPr>
              <w:t>PC4</w:t>
            </w:r>
          </w:p>
        </w:tc>
        <w:tc>
          <w:tcPr>
            <w:tcW w:type="dxa" w:w="3120"/>
          </w:tcPr>
          <w:p>
            <w:r>
              <w:rPr>
                <w:rFonts w:ascii="Times New Roman" w:hAnsi="Times New Roman"/>
                <w:sz w:val="21"/>
              </w:rPr>
              <w:t>0.0823</w:t>
            </w:r>
          </w:p>
        </w:tc>
        <w:tc>
          <w:tcPr>
            <w:tcW w:type="dxa" w:w="3120"/>
          </w:tcPr>
          <w:p>
            <w:r>
              <w:rPr>
                <w:rFonts w:ascii="Times New Roman" w:hAnsi="Times New Roman"/>
                <w:sz w:val="21"/>
              </w:rPr>
              <w:t>0.5204</w:t>
            </w:r>
          </w:p>
        </w:tc>
      </w:tr>
      <w:tr>
        <w:tc>
          <w:tcPr>
            <w:tcW w:type="dxa" w:w="3120"/>
          </w:tcPr>
          <w:p>
            <w:r>
              <w:rPr>
                <w:rFonts w:ascii="Times New Roman" w:hAnsi="Times New Roman"/>
                <w:sz w:val="21"/>
              </w:rPr>
              <w:t>PC5</w:t>
            </w:r>
          </w:p>
        </w:tc>
        <w:tc>
          <w:tcPr>
            <w:tcW w:type="dxa" w:w="3120"/>
          </w:tcPr>
          <w:p>
            <w:r>
              <w:rPr>
                <w:rFonts w:ascii="Times New Roman" w:hAnsi="Times New Roman"/>
                <w:sz w:val="21"/>
              </w:rPr>
              <w:t>0.0726</w:t>
            </w:r>
          </w:p>
        </w:tc>
        <w:tc>
          <w:tcPr>
            <w:tcW w:type="dxa" w:w="3120"/>
          </w:tcPr>
          <w:p>
            <w:r>
              <w:rPr>
                <w:rFonts w:ascii="Times New Roman" w:hAnsi="Times New Roman"/>
                <w:sz w:val="21"/>
              </w:rPr>
              <w:t>0.5931</w:t>
            </w:r>
          </w:p>
        </w:tc>
      </w:tr>
      <w:tr>
        <w:tc>
          <w:tcPr>
            <w:tcW w:type="dxa" w:w="3120"/>
          </w:tcPr>
          <w:p>
            <w:r>
              <w:rPr>
                <w:rFonts w:ascii="Times New Roman" w:hAnsi="Times New Roman"/>
                <w:sz w:val="21"/>
              </w:rPr>
              <w:t>PC6</w:t>
            </w:r>
          </w:p>
        </w:tc>
        <w:tc>
          <w:tcPr>
            <w:tcW w:type="dxa" w:w="3120"/>
          </w:tcPr>
          <w:p>
            <w:r>
              <w:rPr>
                <w:rFonts w:ascii="Times New Roman" w:hAnsi="Times New Roman"/>
                <w:sz w:val="21"/>
              </w:rPr>
              <w:t>0.0721</w:t>
            </w:r>
          </w:p>
        </w:tc>
        <w:tc>
          <w:tcPr>
            <w:tcW w:type="dxa" w:w="3120"/>
          </w:tcPr>
          <w:p>
            <w:r>
              <w:rPr>
                <w:rFonts w:ascii="Times New Roman" w:hAnsi="Times New Roman"/>
                <w:sz w:val="21"/>
              </w:rPr>
              <w:t>0.6651</w:t>
            </w:r>
          </w:p>
        </w:tc>
      </w:tr>
      <w:tr>
        <w:tc>
          <w:tcPr>
            <w:tcW w:type="dxa" w:w="3120"/>
          </w:tcPr>
          <w:p>
            <w:r>
              <w:rPr>
                <w:rFonts w:ascii="Times New Roman" w:hAnsi="Times New Roman"/>
                <w:sz w:val="21"/>
              </w:rPr>
              <w:t>PC7</w:t>
            </w:r>
          </w:p>
        </w:tc>
        <w:tc>
          <w:tcPr>
            <w:tcW w:type="dxa" w:w="3120"/>
          </w:tcPr>
          <w:p>
            <w:r>
              <w:rPr>
                <w:rFonts w:ascii="Times New Roman" w:hAnsi="Times New Roman"/>
                <w:sz w:val="21"/>
              </w:rPr>
              <w:t>0.0654</w:t>
            </w:r>
          </w:p>
        </w:tc>
        <w:tc>
          <w:tcPr>
            <w:tcW w:type="dxa" w:w="3120"/>
          </w:tcPr>
          <w:p>
            <w:r>
              <w:rPr>
                <w:rFonts w:ascii="Times New Roman" w:hAnsi="Times New Roman"/>
                <w:sz w:val="21"/>
              </w:rPr>
              <w:t>0.7305</w:t>
            </w:r>
          </w:p>
        </w:tc>
      </w:tr>
      <w:tr>
        <w:tc>
          <w:tcPr>
            <w:tcW w:type="dxa" w:w="3120"/>
          </w:tcPr>
          <w:p>
            <w:r>
              <w:rPr>
                <w:rFonts w:ascii="Times New Roman" w:hAnsi="Times New Roman"/>
                <w:sz w:val="21"/>
              </w:rPr>
              <w:t>PC8</w:t>
            </w:r>
          </w:p>
        </w:tc>
        <w:tc>
          <w:tcPr>
            <w:tcW w:type="dxa" w:w="3120"/>
          </w:tcPr>
          <w:p>
            <w:r>
              <w:rPr>
                <w:rFonts w:ascii="Times New Roman" w:hAnsi="Times New Roman"/>
                <w:sz w:val="21"/>
              </w:rPr>
              <w:t>0.0648</w:t>
            </w:r>
          </w:p>
        </w:tc>
        <w:tc>
          <w:tcPr>
            <w:tcW w:type="dxa" w:w="3120"/>
          </w:tcPr>
          <w:p>
            <w:r>
              <w:rPr>
                <w:rFonts w:ascii="Times New Roman" w:hAnsi="Times New Roman"/>
                <w:sz w:val="21"/>
              </w:rPr>
              <w:t>0.7953</w:t>
            </w:r>
          </w:p>
        </w:tc>
      </w:tr>
      <w:tr>
        <w:tc>
          <w:tcPr>
            <w:tcW w:type="dxa" w:w="3120"/>
          </w:tcPr>
          <w:p>
            <w:r>
              <w:rPr>
                <w:rFonts w:ascii="Times New Roman" w:hAnsi="Times New Roman"/>
                <w:sz w:val="21"/>
              </w:rPr>
              <w:t>PC9</w:t>
            </w:r>
          </w:p>
        </w:tc>
        <w:tc>
          <w:tcPr>
            <w:tcW w:type="dxa" w:w="3120"/>
          </w:tcPr>
          <w:p>
            <w:r>
              <w:rPr>
                <w:rFonts w:ascii="Times New Roman" w:hAnsi="Times New Roman"/>
                <w:sz w:val="21"/>
              </w:rPr>
              <w:t>0.0566</w:t>
            </w:r>
          </w:p>
        </w:tc>
        <w:tc>
          <w:tcPr>
            <w:tcW w:type="dxa" w:w="3120"/>
          </w:tcPr>
          <w:p>
            <w:r>
              <w:rPr>
                <w:rFonts w:ascii="Times New Roman" w:hAnsi="Times New Roman"/>
                <w:sz w:val="21"/>
              </w:rPr>
              <w:t>0.8520</w:t>
            </w:r>
          </w:p>
        </w:tc>
      </w:tr>
      <w:tr>
        <w:tc>
          <w:tcPr>
            <w:tcW w:type="dxa" w:w="3120"/>
          </w:tcPr>
          <w:p>
            <w:r>
              <w:rPr>
                <w:rFonts w:ascii="Times New Roman" w:hAnsi="Times New Roman"/>
                <w:sz w:val="21"/>
              </w:rPr>
              <w:t>PC10</w:t>
            </w:r>
          </w:p>
        </w:tc>
        <w:tc>
          <w:tcPr>
            <w:tcW w:type="dxa" w:w="3120"/>
          </w:tcPr>
          <w:p>
            <w:r>
              <w:rPr>
                <w:rFonts w:ascii="Times New Roman" w:hAnsi="Times New Roman"/>
                <w:sz w:val="21"/>
              </w:rPr>
              <w:t>0.0567</w:t>
            </w:r>
          </w:p>
        </w:tc>
        <w:tc>
          <w:tcPr>
            <w:tcW w:type="dxa" w:w="3120"/>
          </w:tcPr>
          <w:p>
            <w:r>
              <w:rPr>
                <w:rFonts w:ascii="Times New Roman" w:hAnsi="Times New Roman"/>
                <w:sz w:val="21"/>
              </w:rPr>
              <w:t>0.9087</w:t>
            </w:r>
          </w:p>
        </w:tc>
      </w:tr>
    </w:tbl>
    <w:p/>
    <w:p>
      <w:pPr>
        <w:jc w:val="both"/>
      </w:pPr>
      <w:r>
        <w:rPr>
          <w:rFonts w:ascii="Times New Roman" w:hAnsi="Times New Roman"/>
          <w:sz w:val="24"/>
        </w:rPr>
        <w:t>Se requieren 8 componentes para alcanzar el 80% de varianza acumulada y 10 para el 90%. Esta reduccion (de 13 a 8 variables, equivalente al 38% del espacio original) representa un punto de equilibrio razonable entre simplificacion e informacion preservada. La proyeccion 2D del panel derecho de la Figura 1 muestra que el primer componente separa moderadamente las dos clases del diagnostico, lo cual es alentador para la fase de modelado.</w:t>
      </w:r>
    </w:p>
    <w:p>
      <w:pPr>
        <w:ind w:firstLine="0"/>
        <w:jc w:val="center"/>
      </w:pPr>
      <w:r>
        <w:drawing>
          <wp:inline xmlns:a="http://schemas.openxmlformats.org/drawingml/2006/main" xmlns:pic="http://schemas.openxmlformats.org/drawingml/2006/picture">
            <wp:extent cx="5486400" cy="4093369"/>
            <wp:docPr id="2" name="Picture 2"/>
            <wp:cNvGraphicFramePr>
              <a:graphicFrameLocks noChangeAspect="1"/>
            </wp:cNvGraphicFramePr>
            <a:graphic>
              <a:graphicData uri="http://schemas.openxmlformats.org/drawingml/2006/picture">
                <pic:pic>
                  <pic:nvPicPr>
                    <pic:cNvPr id="0" name="02_pca_loadings.png"/>
                    <pic:cNvPicPr/>
                  </pic:nvPicPr>
                  <pic:blipFill>
                    <a:blip r:embed="rId11"/>
                    <a:stretch>
                      <a:fillRect/>
                    </a:stretch>
                  </pic:blipFill>
                  <pic:spPr>
                    <a:xfrm>
                      <a:off x="0" y="0"/>
                      <a:ext cx="5486400" cy="4093369"/>
                    </a:xfrm>
                    <a:prstGeom prst="rect"/>
                  </pic:spPr>
                </pic:pic>
              </a:graphicData>
            </a:graphic>
          </wp:inline>
        </w:drawing>
      </w:r>
    </w:p>
    <w:p>
      <w:pPr>
        <w:ind w:firstLine="0"/>
        <w:jc w:val="left"/>
      </w:pPr>
      <w:r>
        <w:rPr>
          <w:rFonts w:ascii="Times New Roman" w:hAnsi="Times New Roman"/>
          <w:b/>
          <w:sz w:val="22"/>
        </w:rPr>
        <w:t>Figura 2</w:t>
        <w:br/>
      </w:r>
      <w:r>
        <w:rPr>
          <w:rFonts w:ascii="Times New Roman" w:hAnsi="Times New Roman"/>
          <w:i/>
          <w:sz w:val="22"/>
        </w:rPr>
        <w:t>Mapa de cargas (loadings) de los primeros ocho componentes principales. Elaboracion propia.</w:t>
      </w:r>
    </w:p>
    <w:p>
      <w:pPr>
        <w:jc w:val="both"/>
      </w:pPr>
      <w:r>
        <w:rPr>
          <w:rFonts w:ascii="Times New Roman" w:hAnsi="Times New Roman"/>
          <w:sz w:val="24"/>
        </w:rPr>
        <w:t>La interpretacion de cargas permite asignar significado a los componentes. El primer componente (PC1) carga positivamente sobre oldpeak, exang, thal y ca, todas relacionadas con sintomas y hallazgos por imagen de enfermedad coronaria; puede leerse como un indice de severidad cardiaca. El segundo componente (PC2) carga sobre sex, chol y age, conformando un eje demografico y metabolico.</w:t>
      </w:r>
    </w:p>
    <w:p>
      <w:pPr>
        <w:spacing w:before="120" w:after="120"/>
        <w:ind w:firstLine="0"/>
      </w:pPr>
      <w:r>
        <w:rPr>
          <w:rFonts w:ascii="Times New Roman" w:hAnsi="Times New Roman"/>
          <w:b/>
          <w:sz w:val="26"/>
        </w:rPr>
        <w:t>VII. Seleccion de caracteristicas</w:t>
      </w:r>
    </w:p>
    <w:p>
      <w:pPr>
        <w:jc w:val="both"/>
      </w:pPr>
      <w:r>
        <w:rPr>
          <w:rFonts w:ascii="Times New Roman" w:hAnsi="Times New Roman"/>
          <w:sz w:val="24"/>
        </w:rPr>
        <w:t>Se calculo el valor absoluto de la correlacion de Pearson entre cada feature y la variable objetivo. La Figura 3 presenta el ranking completo y la Tabla 2 las cinco variables seleccionadas como mas relevantes.</w:t>
      </w:r>
    </w:p>
    <w:p>
      <w:pPr>
        <w:ind w:firstLine="0"/>
        <w:jc w:val="center"/>
      </w:pPr>
      <w:r>
        <w:drawing>
          <wp:inline xmlns:a="http://schemas.openxmlformats.org/drawingml/2006/main" xmlns:pic="http://schemas.openxmlformats.org/drawingml/2006/picture">
            <wp:extent cx="5486400" cy="2695284"/>
            <wp:docPr id="3" name="Picture 3"/>
            <wp:cNvGraphicFramePr>
              <a:graphicFrameLocks noChangeAspect="1"/>
            </wp:cNvGraphicFramePr>
            <a:graphic>
              <a:graphicData uri="http://schemas.openxmlformats.org/drawingml/2006/picture">
                <pic:pic>
                  <pic:nvPicPr>
                    <pic:cNvPr id="0" name="03_correlacion_target.png"/>
                    <pic:cNvPicPr/>
                  </pic:nvPicPr>
                  <pic:blipFill>
                    <a:blip r:embed="rId12"/>
                    <a:stretch>
                      <a:fillRect/>
                    </a:stretch>
                  </pic:blipFill>
                  <pic:spPr>
                    <a:xfrm>
                      <a:off x="0" y="0"/>
                      <a:ext cx="5486400" cy="2695284"/>
                    </a:xfrm>
                    <a:prstGeom prst="rect"/>
                  </pic:spPr>
                </pic:pic>
              </a:graphicData>
            </a:graphic>
          </wp:inline>
        </w:drawing>
      </w:r>
    </w:p>
    <w:p>
      <w:pPr>
        <w:ind w:firstLine="0"/>
        <w:jc w:val="left"/>
      </w:pPr>
      <w:r>
        <w:rPr>
          <w:rFonts w:ascii="Times New Roman" w:hAnsi="Times New Roman"/>
          <w:b/>
          <w:sz w:val="22"/>
        </w:rPr>
        <w:t>Figura 3</w:t>
        <w:br/>
      </w:r>
      <w:r>
        <w:rPr>
          <w:rFonts w:ascii="Times New Roman" w:hAnsi="Times New Roman"/>
          <w:i/>
          <w:sz w:val="22"/>
        </w:rPr>
        <w:t>Importancia de cada variable medida por el valor absoluto de la correlacion de Pearson con el target. Las cinco variables resaltadas superan el umbral del top 5. Elaboracion propia.</w:t>
      </w:r>
    </w:p>
    <w:p>
      <w:pPr>
        <w:ind w:firstLine="0"/>
      </w:pPr>
      <w:r>
        <w:rPr>
          <w:rFonts w:ascii="Times New Roman" w:hAnsi="Times New Roman"/>
          <w:b/>
          <w:sz w:val="22"/>
        </w:rPr>
        <w:t>Tabla 2</w:t>
        <w:br/>
      </w:r>
      <w:r>
        <w:rPr>
          <w:rFonts w:ascii="Times New Roman" w:hAnsi="Times New Roman"/>
          <w:i/>
          <w:sz w:val="22"/>
        </w:rPr>
        <w:t>Top 5 features mas correlacionadas con la variable objetivo</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1"/>
              </w:rPr>
              <w:t>Variable</w:t>
            </w:r>
          </w:p>
        </w:tc>
        <w:tc>
          <w:tcPr>
            <w:tcW w:type="dxa" w:w="3120"/>
          </w:tcPr>
          <w:p>
            <w:r>
              <w:rPr>
                <w:rFonts w:ascii="Times New Roman" w:hAnsi="Times New Roman"/>
                <w:b/>
                <w:sz w:val="21"/>
              </w:rPr>
              <w:t>|Correlacion|</w:t>
            </w:r>
          </w:p>
        </w:tc>
        <w:tc>
          <w:tcPr>
            <w:tcW w:type="dxa" w:w="3120"/>
          </w:tcPr>
          <w:p>
            <w:r>
              <w:rPr>
                <w:rFonts w:ascii="Times New Roman" w:hAnsi="Times New Roman"/>
                <w:b/>
                <w:sz w:val="21"/>
              </w:rPr>
              <w:t>Interpretacion clinica</w:t>
            </w:r>
          </w:p>
        </w:tc>
      </w:tr>
      <w:tr>
        <w:tc>
          <w:tcPr>
            <w:tcW w:type="dxa" w:w="3120"/>
          </w:tcPr>
          <w:p>
            <w:r>
              <w:rPr>
                <w:rFonts w:ascii="Times New Roman" w:hAnsi="Times New Roman"/>
                <w:sz w:val="21"/>
              </w:rPr>
              <w:t>thal</w:t>
            </w:r>
          </w:p>
        </w:tc>
        <w:tc>
          <w:tcPr>
            <w:tcW w:type="dxa" w:w="3120"/>
          </w:tcPr>
          <w:p>
            <w:r>
              <w:rPr>
                <w:rFonts w:ascii="Times New Roman" w:hAnsi="Times New Roman"/>
                <w:sz w:val="21"/>
              </w:rPr>
              <w:t>0.5221</w:t>
            </w:r>
          </w:p>
        </w:tc>
        <w:tc>
          <w:tcPr>
            <w:tcW w:type="dxa" w:w="3120"/>
          </w:tcPr>
          <w:p>
            <w:r>
              <w:rPr>
                <w:rFonts w:ascii="Times New Roman" w:hAnsi="Times New Roman"/>
                <w:sz w:val="21"/>
              </w:rPr>
              <w:t>Tipo de talasemia (3, 6, 7)</w:t>
            </w:r>
          </w:p>
        </w:tc>
      </w:tr>
      <w:tr>
        <w:tc>
          <w:tcPr>
            <w:tcW w:type="dxa" w:w="3120"/>
          </w:tcPr>
          <w:p>
            <w:r>
              <w:rPr>
                <w:rFonts w:ascii="Times New Roman" w:hAnsi="Times New Roman"/>
                <w:sz w:val="21"/>
              </w:rPr>
              <w:t>ca</w:t>
            </w:r>
          </w:p>
        </w:tc>
        <w:tc>
          <w:tcPr>
            <w:tcW w:type="dxa" w:w="3120"/>
          </w:tcPr>
          <w:p>
            <w:r>
              <w:rPr>
                <w:rFonts w:ascii="Times New Roman" w:hAnsi="Times New Roman"/>
                <w:sz w:val="21"/>
              </w:rPr>
              <w:t>0.4702</w:t>
            </w:r>
          </w:p>
        </w:tc>
        <w:tc>
          <w:tcPr>
            <w:tcW w:type="dxa" w:w="3120"/>
          </w:tcPr>
          <w:p>
            <w:r>
              <w:rPr>
                <w:rFonts w:ascii="Times New Roman" w:hAnsi="Times New Roman"/>
                <w:sz w:val="21"/>
              </w:rPr>
              <w:t>Vasos coloreados por fluoroscopia</w:t>
            </w:r>
          </w:p>
        </w:tc>
      </w:tr>
      <w:tr>
        <w:tc>
          <w:tcPr>
            <w:tcW w:type="dxa" w:w="3120"/>
          </w:tcPr>
          <w:p>
            <w:r>
              <w:rPr>
                <w:rFonts w:ascii="Times New Roman" w:hAnsi="Times New Roman"/>
                <w:sz w:val="21"/>
              </w:rPr>
              <w:t>exang</w:t>
            </w:r>
          </w:p>
        </w:tc>
        <w:tc>
          <w:tcPr>
            <w:tcW w:type="dxa" w:w="3120"/>
          </w:tcPr>
          <w:p>
            <w:r>
              <w:rPr>
                <w:rFonts w:ascii="Times New Roman" w:hAnsi="Times New Roman"/>
                <w:sz w:val="21"/>
              </w:rPr>
              <w:t>0.4319</w:t>
            </w:r>
          </w:p>
        </w:tc>
        <w:tc>
          <w:tcPr>
            <w:tcW w:type="dxa" w:w="3120"/>
          </w:tcPr>
          <w:p>
            <w:r>
              <w:rPr>
                <w:rFonts w:ascii="Times New Roman" w:hAnsi="Times New Roman"/>
                <w:sz w:val="21"/>
              </w:rPr>
              <w:t>Angina inducida por ejercicio</w:t>
            </w:r>
          </w:p>
        </w:tc>
      </w:tr>
      <w:tr>
        <w:tc>
          <w:tcPr>
            <w:tcW w:type="dxa" w:w="3120"/>
          </w:tcPr>
          <w:p>
            <w:r>
              <w:rPr>
                <w:rFonts w:ascii="Times New Roman" w:hAnsi="Times New Roman"/>
                <w:sz w:val="21"/>
              </w:rPr>
              <w:t>oldpeak</w:t>
            </w:r>
          </w:p>
        </w:tc>
        <w:tc>
          <w:tcPr>
            <w:tcW w:type="dxa" w:w="3120"/>
          </w:tcPr>
          <w:p>
            <w:r>
              <w:rPr>
                <w:rFonts w:ascii="Times New Roman" w:hAnsi="Times New Roman"/>
                <w:sz w:val="21"/>
              </w:rPr>
              <w:t>0.4303</w:t>
            </w:r>
          </w:p>
        </w:tc>
        <w:tc>
          <w:tcPr>
            <w:tcW w:type="dxa" w:w="3120"/>
          </w:tcPr>
          <w:p>
            <w:r>
              <w:rPr>
                <w:rFonts w:ascii="Times New Roman" w:hAnsi="Times New Roman"/>
                <w:sz w:val="21"/>
              </w:rPr>
              <w:t>Depresion ST inducida por ejercicio</w:t>
            </w:r>
          </w:p>
        </w:tc>
      </w:tr>
      <w:tr>
        <w:tc>
          <w:tcPr>
            <w:tcW w:type="dxa" w:w="3120"/>
          </w:tcPr>
          <w:p>
            <w:r>
              <w:rPr>
                <w:rFonts w:ascii="Times New Roman" w:hAnsi="Times New Roman"/>
                <w:sz w:val="21"/>
              </w:rPr>
              <w:t>thalach</w:t>
            </w:r>
          </w:p>
        </w:tc>
        <w:tc>
          <w:tcPr>
            <w:tcW w:type="dxa" w:w="3120"/>
          </w:tcPr>
          <w:p>
            <w:r>
              <w:rPr>
                <w:rFonts w:ascii="Times New Roman" w:hAnsi="Times New Roman"/>
                <w:sz w:val="21"/>
              </w:rPr>
              <w:t>0.4176</w:t>
            </w:r>
          </w:p>
        </w:tc>
        <w:tc>
          <w:tcPr>
            <w:tcW w:type="dxa" w:w="3120"/>
          </w:tcPr>
          <w:p>
            <w:r>
              <w:rPr>
                <w:rFonts w:ascii="Times New Roman" w:hAnsi="Times New Roman"/>
                <w:sz w:val="21"/>
              </w:rPr>
              <w:t>Frecuencia cardiaca maxima alcanzada</w:t>
            </w:r>
          </w:p>
        </w:tc>
      </w:tr>
    </w:tbl>
    <w:p/>
    <w:p>
      <w:pPr>
        <w:jc w:val="both"/>
      </w:pPr>
      <w:r>
        <w:rPr>
          <w:rFonts w:ascii="Times New Roman" w:hAnsi="Times New Roman"/>
          <w:sz w:val="24"/>
        </w:rPr>
        <w:t>Las cinco variables seleccionadas tienen una interpretacion clinica directa: sintomas (exang), respuesta al esfuerzo (oldpeak, thalach), hallazgos de imagen (ca) y comorbilidades hematologicas (thal). Las variables con menor poder predictivo (fbs, chol y trestbps) son factores de riesgo a largo plazo pero malos indicadores del estado actual del paciente, lo que coincide con la literatura cardiologica.</w:t>
      </w:r>
    </w:p>
    <w:p>
      <w:pPr>
        <w:spacing w:before="120" w:after="120"/>
        <w:ind w:firstLine="0"/>
      </w:pPr>
      <w:r>
        <w:rPr>
          <w:rFonts w:ascii="Times New Roman" w:hAnsi="Times New Roman"/>
          <w:b/>
          <w:sz w:val="26"/>
        </w:rPr>
        <w:t>VIII. Modelamiento supervisado</w:t>
      </w:r>
    </w:p>
    <w:p>
      <w:pPr>
        <w:jc w:val="both"/>
      </w:pPr>
      <w:r>
        <w:rPr>
          <w:rFonts w:ascii="Times New Roman" w:hAnsi="Times New Roman"/>
          <w:sz w:val="24"/>
        </w:rPr>
        <w:t>Se entrenaron dos modelos supervisados sobre el conjunto de entrenamiento y se evaluaron en el conjunto de prueba retenido. La Tabla 3 sintetiza las metricas obtenidas y la Figura 4 presenta las matrices de confusion comparativas.</w:t>
      </w:r>
    </w:p>
    <w:p>
      <w:pPr>
        <w:ind w:firstLine="0"/>
      </w:pPr>
      <w:r>
        <w:rPr>
          <w:rFonts w:ascii="Times New Roman" w:hAnsi="Times New Roman"/>
          <w:b/>
          <w:sz w:val="22"/>
        </w:rPr>
        <w:t>Tabla 3</w:t>
        <w:br/>
      </w:r>
      <w:r>
        <w:rPr>
          <w:rFonts w:ascii="Times New Roman" w:hAnsi="Times New Roman"/>
          <w:i/>
          <w:sz w:val="22"/>
        </w:rPr>
        <w:t>Metricas de evaluacion en el conjunto de prueba</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1"/>
              </w:rPr>
              <w:t>Modelo</w:t>
            </w:r>
          </w:p>
        </w:tc>
        <w:tc>
          <w:tcPr>
            <w:tcW w:type="dxa" w:w="1560"/>
          </w:tcPr>
          <w:p>
            <w:r>
              <w:rPr>
                <w:rFonts w:ascii="Times New Roman" w:hAnsi="Times New Roman"/>
                <w:b/>
                <w:sz w:val="21"/>
              </w:rPr>
              <w:t>Accuracy</w:t>
            </w:r>
          </w:p>
        </w:tc>
        <w:tc>
          <w:tcPr>
            <w:tcW w:type="dxa" w:w="1560"/>
          </w:tcPr>
          <w:p>
            <w:r>
              <w:rPr>
                <w:rFonts w:ascii="Times New Roman" w:hAnsi="Times New Roman"/>
                <w:b/>
                <w:sz w:val="21"/>
              </w:rPr>
              <w:t>Precision</w:t>
            </w:r>
          </w:p>
        </w:tc>
        <w:tc>
          <w:tcPr>
            <w:tcW w:type="dxa" w:w="1560"/>
          </w:tcPr>
          <w:p>
            <w:r>
              <w:rPr>
                <w:rFonts w:ascii="Times New Roman" w:hAnsi="Times New Roman"/>
                <w:b/>
                <w:sz w:val="21"/>
              </w:rPr>
              <w:t>Recall</w:t>
            </w:r>
          </w:p>
        </w:tc>
        <w:tc>
          <w:tcPr>
            <w:tcW w:type="dxa" w:w="1560"/>
          </w:tcPr>
          <w:p>
            <w:r>
              <w:rPr>
                <w:rFonts w:ascii="Times New Roman" w:hAnsi="Times New Roman"/>
                <w:b/>
                <w:sz w:val="21"/>
              </w:rPr>
              <w:t>F1</w:t>
            </w:r>
          </w:p>
        </w:tc>
        <w:tc>
          <w:tcPr>
            <w:tcW w:type="dxa" w:w="1560"/>
          </w:tcPr>
          <w:p>
            <w:r>
              <w:rPr>
                <w:rFonts w:ascii="Times New Roman" w:hAnsi="Times New Roman"/>
                <w:b/>
                <w:sz w:val="21"/>
              </w:rPr>
              <w:t>ROC-AUC</w:t>
            </w:r>
          </w:p>
        </w:tc>
      </w:tr>
      <w:tr>
        <w:tc>
          <w:tcPr>
            <w:tcW w:type="dxa" w:w="1560"/>
          </w:tcPr>
          <w:p>
            <w:r>
              <w:rPr>
                <w:rFonts w:ascii="Times New Roman" w:hAnsi="Times New Roman"/>
                <w:sz w:val="21"/>
              </w:rPr>
              <w:t>Regresion Logistica</w:t>
            </w:r>
          </w:p>
        </w:tc>
        <w:tc>
          <w:tcPr>
            <w:tcW w:type="dxa" w:w="1560"/>
          </w:tcPr>
          <w:p>
            <w:r>
              <w:rPr>
                <w:rFonts w:ascii="Times New Roman" w:hAnsi="Times New Roman"/>
                <w:sz w:val="21"/>
              </w:rPr>
              <w:t>0.8525</w:t>
            </w:r>
          </w:p>
        </w:tc>
        <w:tc>
          <w:tcPr>
            <w:tcW w:type="dxa" w:w="1560"/>
          </w:tcPr>
          <w:p>
            <w:r>
              <w:rPr>
                <w:rFonts w:ascii="Times New Roman" w:hAnsi="Times New Roman"/>
                <w:sz w:val="21"/>
              </w:rPr>
              <w:t>0.7879</w:t>
            </w:r>
          </w:p>
        </w:tc>
        <w:tc>
          <w:tcPr>
            <w:tcW w:type="dxa" w:w="1560"/>
          </w:tcPr>
          <w:p>
            <w:r>
              <w:rPr>
                <w:rFonts w:ascii="Times New Roman" w:hAnsi="Times New Roman"/>
                <w:sz w:val="21"/>
              </w:rPr>
              <w:t>0.9286</w:t>
            </w:r>
          </w:p>
        </w:tc>
        <w:tc>
          <w:tcPr>
            <w:tcW w:type="dxa" w:w="1560"/>
          </w:tcPr>
          <w:p>
            <w:r>
              <w:rPr>
                <w:rFonts w:ascii="Times New Roman" w:hAnsi="Times New Roman"/>
                <w:sz w:val="21"/>
              </w:rPr>
              <w:t>0.8525</w:t>
            </w:r>
          </w:p>
        </w:tc>
        <w:tc>
          <w:tcPr>
            <w:tcW w:type="dxa" w:w="1560"/>
          </w:tcPr>
          <w:p>
            <w:r>
              <w:rPr>
                <w:rFonts w:ascii="Times New Roman" w:hAnsi="Times New Roman"/>
                <w:sz w:val="21"/>
              </w:rPr>
              <w:t>0.9535</w:t>
            </w:r>
          </w:p>
        </w:tc>
      </w:tr>
      <w:tr>
        <w:tc>
          <w:tcPr>
            <w:tcW w:type="dxa" w:w="1560"/>
          </w:tcPr>
          <w:p>
            <w:r>
              <w:rPr>
                <w:rFonts w:ascii="Times New Roman" w:hAnsi="Times New Roman"/>
                <w:sz w:val="21"/>
              </w:rPr>
              <w:t>Arbol de Decision</w:t>
            </w:r>
          </w:p>
        </w:tc>
        <w:tc>
          <w:tcPr>
            <w:tcW w:type="dxa" w:w="1560"/>
          </w:tcPr>
          <w:p>
            <w:r>
              <w:rPr>
                <w:rFonts w:ascii="Times New Roman" w:hAnsi="Times New Roman"/>
                <w:sz w:val="21"/>
              </w:rPr>
              <w:t>0.8033</w:t>
            </w:r>
          </w:p>
        </w:tc>
        <w:tc>
          <w:tcPr>
            <w:tcW w:type="dxa" w:w="1560"/>
          </w:tcPr>
          <w:p>
            <w:r>
              <w:rPr>
                <w:rFonts w:ascii="Times New Roman" w:hAnsi="Times New Roman"/>
                <w:sz w:val="21"/>
              </w:rPr>
              <w:t>0.7500</w:t>
            </w:r>
          </w:p>
        </w:tc>
        <w:tc>
          <w:tcPr>
            <w:tcW w:type="dxa" w:w="1560"/>
          </w:tcPr>
          <w:p>
            <w:r>
              <w:rPr>
                <w:rFonts w:ascii="Times New Roman" w:hAnsi="Times New Roman"/>
                <w:sz w:val="21"/>
              </w:rPr>
              <w:t>0.8571</w:t>
            </w:r>
          </w:p>
        </w:tc>
        <w:tc>
          <w:tcPr>
            <w:tcW w:type="dxa" w:w="1560"/>
          </w:tcPr>
          <w:p>
            <w:r>
              <w:rPr>
                <w:rFonts w:ascii="Times New Roman" w:hAnsi="Times New Roman"/>
                <w:sz w:val="21"/>
              </w:rPr>
              <w:t>0.8000</w:t>
            </w:r>
          </w:p>
        </w:tc>
        <w:tc>
          <w:tcPr>
            <w:tcW w:type="dxa" w:w="1560"/>
          </w:tcPr>
          <w:p>
            <w:r>
              <w:rPr>
                <w:rFonts w:ascii="Times New Roman" w:hAnsi="Times New Roman"/>
                <w:sz w:val="21"/>
              </w:rPr>
              <w:t>0.8052</w:t>
            </w:r>
          </w:p>
        </w:tc>
      </w:tr>
    </w:tbl>
    <w:p/>
    <w:p>
      <w:pPr>
        <w:ind w:firstLine="0"/>
        <w:jc w:val="center"/>
      </w:pPr>
      <w:r>
        <w:drawing>
          <wp:inline xmlns:a="http://schemas.openxmlformats.org/drawingml/2006/main" xmlns:pic="http://schemas.openxmlformats.org/drawingml/2006/picture">
            <wp:extent cx="5486400" cy="2181515"/>
            <wp:docPr id="4" name="Picture 4"/>
            <wp:cNvGraphicFramePr>
              <a:graphicFrameLocks noChangeAspect="1"/>
            </wp:cNvGraphicFramePr>
            <a:graphic>
              <a:graphicData uri="http://schemas.openxmlformats.org/drawingml/2006/picture">
                <pic:pic>
                  <pic:nvPicPr>
                    <pic:cNvPr id="0" name="04_matrices_confusion.png"/>
                    <pic:cNvPicPr/>
                  </pic:nvPicPr>
                  <pic:blipFill>
                    <a:blip r:embed="rId13"/>
                    <a:stretch>
                      <a:fillRect/>
                    </a:stretch>
                  </pic:blipFill>
                  <pic:spPr>
                    <a:xfrm>
                      <a:off x="0" y="0"/>
                      <a:ext cx="5486400" cy="2181515"/>
                    </a:xfrm>
                    <a:prstGeom prst="rect"/>
                  </pic:spPr>
                </pic:pic>
              </a:graphicData>
            </a:graphic>
          </wp:inline>
        </w:drawing>
      </w:r>
    </w:p>
    <w:p>
      <w:pPr>
        <w:ind w:firstLine="0"/>
        <w:jc w:val="left"/>
      </w:pPr>
      <w:r>
        <w:rPr>
          <w:rFonts w:ascii="Times New Roman" w:hAnsi="Times New Roman"/>
          <w:b/>
          <w:sz w:val="22"/>
        </w:rPr>
        <w:t>Figura 4</w:t>
        <w:br/>
      </w:r>
      <w:r>
        <w:rPr>
          <w:rFonts w:ascii="Times New Roman" w:hAnsi="Times New Roman"/>
          <w:i/>
          <w:sz w:val="22"/>
        </w:rPr>
        <w:t>Matrices de confusion sobre el conjunto de prueba (n = 61). Elaboracion propia.</w:t>
      </w:r>
    </w:p>
    <w:p>
      <w:pPr>
        <w:jc w:val="both"/>
      </w:pPr>
      <w:r>
        <w:rPr>
          <w:rFonts w:ascii="Times New Roman" w:hAnsi="Times New Roman"/>
          <w:sz w:val="24"/>
        </w:rPr>
        <w:t>La Regresion Logistica supera al Arbol de Decision en las cinco metricas evaluadas. El recall del 92.9% sobre la clase con enfermedad es particularmente relevante en un contexto clinico, donde el costo de un falso negativo (no detectar un paciente enfermo) es superior al de un falso positivo. La validacion cruzada de cinco pliegues confirma el patron: la logistica alcanza 0.8263 ± 0.0504 de accuracy, frente a 0.7151 ± 0.0620 del arbol.</w:t>
      </w:r>
    </w:p>
    <w:p>
      <w:pPr>
        <w:ind w:firstLine="0"/>
        <w:jc w:val="center"/>
      </w:pPr>
      <w:r>
        <w:drawing>
          <wp:inline xmlns:a="http://schemas.openxmlformats.org/drawingml/2006/main" xmlns:pic="http://schemas.openxmlformats.org/drawingml/2006/picture">
            <wp:extent cx="5486400" cy="4669767"/>
            <wp:docPr id="5" name="Picture 5"/>
            <wp:cNvGraphicFramePr>
              <a:graphicFrameLocks noChangeAspect="1"/>
            </wp:cNvGraphicFramePr>
            <a:graphic>
              <a:graphicData uri="http://schemas.openxmlformats.org/drawingml/2006/picture">
                <pic:pic>
                  <pic:nvPicPr>
                    <pic:cNvPr id="0" name="05_curva_roc.png"/>
                    <pic:cNvPicPr/>
                  </pic:nvPicPr>
                  <pic:blipFill>
                    <a:blip r:embed="rId14"/>
                    <a:stretch>
                      <a:fillRect/>
                    </a:stretch>
                  </pic:blipFill>
                  <pic:spPr>
                    <a:xfrm>
                      <a:off x="0" y="0"/>
                      <a:ext cx="5486400" cy="4669767"/>
                    </a:xfrm>
                    <a:prstGeom prst="rect"/>
                  </pic:spPr>
                </pic:pic>
              </a:graphicData>
            </a:graphic>
          </wp:inline>
        </w:drawing>
      </w:r>
    </w:p>
    <w:p>
      <w:pPr>
        <w:ind w:firstLine="0"/>
        <w:jc w:val="left"/>
      </w:pPr>
      <w:r>
        <w:rPr>
          <w:rFonts w:ascii="Times New Roman" w:hAnsi="Times New Roman"/>
          <w:b/>
          <w:sz w:val="22"/>
        </w:rPr>
        <w:t>Figura 5</w:t>
        <w:br/>
      </w:r>
      <w:r>
        <w:rPr>
          <w:rFonts w:ascii="Times New Roman" w:hAnsi="Times New Roman"/>
          <w:i/>
          <w:sz w:val="22"/>
        </w:rPr>
        <w:t>Curva ROC comparativa para los dos modelos evaluados. La logistica alcanza AUC = 0.95, frente a 0.81 del arbol. Elaboracion propia.</w:t>
      </w:r>
    </w:p>
    <w:p>
      <w:pPr>
        <w:jc w:val="both"/>
      </w:pPr>
      <w:r>
        <w:rPr>
          <w:rFonts w:ascii="Times New Roman" w:hAnsi="Times New Roman"/>
          <w:sz w:val="24"/>
        </w:rPr>
        <w:t>La curva ROC de la Figura 5 muestra que el Arbol de Decision toma decisiones discretas (la curva forma escalones) mientras que la Regresion Logistica produce una clasificacion mas suave y proxima al vertice superior izquierdo, equivalente a un AUC de 0.95.</w:t>
      </w:r>
    </w:p>
    <w:p>
      <w:pPr>
        <w:ind w:firstLine="0"/>
        <w:jc w:val="center"/>
      </w:pPr>
      <w:r>
        <w:drawing>
          <wp:inline xmlns:a="http://schemas.openxmlformats.org/drawingml/2006/main" xmlns:pic="http://schemas.openxmlformats.org/drawingml/2006/picture">
            <wp:extent cx="5486400" cy="2738221"/>
            <wp:docPr id="6" name="Picture 6"/>
            <wp:cNvGraphicFramePr>
              <a:graphicFrameLocks noChangeAspect="1"/>
            </wp:cNvGraphicFramePr>
            <a:graphic>
              <a:graphicData uri="http://schemas.openxmlformats.org/drawingml/2006/picture">
                <pic:pic>
                  <pic:nvPicPr>
                    <pic:cNvPr id="0" name="06_arbol_decision.png"/>
                    <pic:cNvPicPr/>
                  </pic:nvPicPr>
                  <pic:blipFill>
                    <a:blip r:embed="rId15"/>
                    <a:stretch>
                      <a:fillRect/>
                    </a:stretch>
                  </pic:blipFill>
                  <pic:spPr>
                    <a:xfrm>
                      <a:off x="0" y="0"/>
                      <a:ext cx="5486400" cy="2738221"/>
                    </a:xfrm>
                    <a:prstGeom prst="rect"/>
                  </pic:spPr>
                </pic:pic>
              </a:graphicData>
            </a:graphic>
          </wp:inline>
        </w:drawing>
      </w:r>
    </w:p>
    <w:p>
      <w:pPr>
        <w:ind w:firstLine="0"/>
        <w:jc w:val="left"/>
      </w:pPr>
      <w:r>
        <w:rPr>
          <w:rFonts w:ascii="Times New Roman" w:hAnsi="Times New Roman"/>
          <w:b/>
          <w:sz w:val="22"/>
        </w:rPr>
        <w:t>Figura 6</w:t>
        <w:br/>
      </w:r>
      <w:r>
        <w:rPr>
          <w:rFonts w:ascii="Times New Roman" w:hAnsi="Times New Roman"/>
          <w:i/>
          <w:sz w:val="22"/>
        </w:rPr>
        <w:t>Arbol de Decision aprendido con profundidad maxima 5. Las dos primeras divisiones se hacen sobre thal y ca. Elaboracion propia.</w:t>
      </w:r>
    </w:p>
    <w:p>
      <w:pPr>
        <w:ind w:firstLine="0"/>
        <w:jc w:val="center"/>
      </w:pPr>
      <w:r>
        <w:drawing>
          <wp:inline xmlns:a="http://schemas.openxmlformats.org/drawingml/2006/main" xmlns:pic="http://schemas.openxmlformats.org/drawingml/2006/picture">
            <wp:extent cx="5486400" cy="1903387"/>
            <wp:docPr id="7" name="Picture 7"/>
            <wp:cNvGraphicFramePr>
              <a:graphicFrameLocks noChangeAspect="1"/>
            </wp:cNvGraphicFramePr>
            <a:graphic>
              <a:graphicData uri="http://schemas.openxmlformats.org/drawingml/2006/picture">
                <pic:pic>
                  <pic:nvPicPr>
                    <pic:cNvPr id="0" name="07_importancia_variables.png"/>
                    <pic:cNvPicPr/>
                  </pic:nvPicPr>
                  <pic:blipFill>
                    <a:blip r:embed="rId16"/>
                    <a:stretch>
                      <a:fillRect/>
                    </a:stretch>
                  </pic:blipFill>
                  <pic:spPr>
                    <a:xfrm>
                      <a:off x="0" y="0"/>
                      <a:ext cx="5486400" cy="1903387"/>
                    </a:xfrm>
                    <a:prstGeom prst="rect"/>
                  </pic:spPr>
                </pic:pic>
              </a:graphicData>
            </a:graphic>
          </wp:inline>
        </w:drawing>
      </w:r>
    </w:p>
    <w:p>
      <w:pPr>
        <w:ind w:firstLine="0"/>
        <w:jc w:val="left"/>
      </w:pPr>
      <w:r>
        <w:rPr>
          <w:rFonts w:ascii="Times New Roman" w:hAnsi="Times New Roman"/>
          <w:b/>
          <w:sz w:val="22"/>
        </w:rPr>
        <w:t>Figura 7</w:t>
        <w:br/>
      </w:r>
      <w:r>
        <w:rPr>
          <w:rFonts w:ascii="Times New Roman" w:hAnsi="Times New Roman"/>
          <w:i/>
          <w:sz w:val="22"/>
        </w:rPr>
        <w:t>Importancia de variables del Arbol de Decision (izquierda, Gini) y coeficientes de la Regresion Logistica (derecha, escala estandarizada). Elaboracion propia.</w:t>
      </w:r>
    </w:p>
    <w:p>
      <w:pPr>
        <w:jc w:val="both"/>
      </w:pPr>
      <w:r>
        <w:rPr>
          <w:rFonts w:ascii="Times New Roman" w:hAnsi="Times New Roman"/>
          <w:sz w:val="24"/>
        </w:rPr>
        <w:t>Ambos modelos coinciden en que las variables mas influyentes son las que el filtro de correlacion ya habia identificado (thal, ca, exang, oldpeak, cp), reforzando la coherencia interna del analisis.</w:t>
      </w:r>
    </w:p>
    <w:p>
      <w:r>
        <w:br w:type="page"/>
      </w:r>
    </w:p>
    <w:p>
      <w:pPr>
        <w:spacing w:before="120" w:after="120"/>
        <w:ind w:firstLine="0"/>
        <w:jc w:val="center"/>
      </w:pPr>
      <w:r>
        <w:rPr>
          <w:rFonts w:ascii="Times New Roman" w:hAnsi="Times New Roman"/>
          <w:b/>
          <w:sz w:val="28"/>
        </w:rPr>
        <w:t>Conclusiones y Reflexion</w:t>
      </w:r>
    </w:p>
    <w:p>
      <w:pPr>
        <w:spacing w:before="120" w:after="120"/>
        <w:ind w:firstLine="0"/>
      </w:pPr>
      <w:r>
        <w:rPr>
          <w:rFonts w:ascii="Times New Roman" w:hAnsi="Times New Roman"/>
          <w:b/>
          <w:sz w:val="26"/>
        </w:rPr>
        <w:t>Sintesis de hallazgos</w:t>
      </w:r>
    </w:p>
    <w:p>
      <w:pPr>
        <w:jc w:val="both"/>
      </w:pPr>
      <w:r>
        <w:rPr>
          <w:rFonts w:ascii="Times New Roman" w:hAnsi="Times New Roman"/>
          <w:sz w:val="24"/>
        </w:rPr>
        <w:t>El Analisis de Componentes Principales mostro que ocho componentes permiten conservar el 80% de la varianza original, una reduccion moderada que evita perder informacion clave en un dataset con solo 13 predictores. La interpretacion de cargas asocio el primer componente con un eje de severidad cardiaca y el segundo con un eje demografico metabolico.</w:t>
      </w:r>
    </w:p>
    <w:p>
      <w:pPr>
        <w:jc w:val="both"/>
      </w:pPr>
      <w:r>
        <w:rPr>
          <w:rFonts w:ascii="Times New Roman" w:hAnsi="Times New Roman"/>
          <w:sz w:val="24"/>
        </w:rPr>
        <w:t>El filtro por correlacion identifico cinco variables como las mas predictivas: thal, ca, exang, oldpeak y thalach. Esta seleccion es coherente con la importancia que asignaron ambos modelos supervisados y con la literatura cardiologica.</w:t>
      </w:r>
    </w:p>
    <w:p>
      <w:pPr>
        <w:jc w:val="both"/>
      </w:pPr>
      <w:r>
        <w:rPr>
          <w:rFonts w:ascii="Times New Roman" w:hAnsi="Times New Roman"/>
          <w:sz w:val="24"/>
        </w:rPr>
        <w:t>En el modelamiento, la Regresion Logistica supero al Arbol de Decision en todas las metricas evaluadas (accuracy de 0.85 frente a 0.80, F1 de 0.85 frente a 0.80 y ROC-AUC de 0.95 frente a 0.81). Mas alla del desempeno bruto, la logistica ofrece dos ventajas adicionales para el contexto clinico: produce probabilidades calibradas que permiten ajustar umbrales segun el costo del error, y sus coeficientes son interpretables como odds-ratios.</w:t>
      </w:r>
    </w:p>
    <w:p>
      <w:pPr>
        <w:spacing w:before="120" w:after="120"/>
        <w:ind w:firstLine="0"/>
      </w:pPr>
      <w:r>
        <w:rPr>
          <w:rFonts w:ascii="Times New Roman" w:hAnsi="Times New Roman"/>
          <w:b/>
          <w:sz w:val="26"/>
        </w:rPr>
        <w:t>Reflexion sobre el impacto del preprocesamiento</w:t>
      </w:r>
    </w:p>
    <w:p>
      <w:pPr>
        <w:jc w:val="both"/>
      </w:pPr>
      <w:r>
        <w:rPr>
          <w:rFonts w:ascii="Times New Roman" w:hAnsi="Times New Roman"/>
          <w:sz w:val="24"/>
        </w:rPr>
        <w:t>Los resultados validan la inversion realizada en el primer entregable. El tratamiento de outliers por capping evito que valores extremos como colesterol 564 mg/dl distorsionaran los coeficientes de la regresion logistica, modelo sensible a la escala. La imputacion por regresion bayesiana preservo la relacion multivariada de la variable ca, una de las cinco mas relevantes segun el filtro de Pearson, evitando el sesgo que habria introducido una imputacion simple por mediana. Si el preprocesamiento se hubiese omitido, los seis nulos y los cuarenta outliers detectados habrian afectado tanto el entrenamiento como las metricas finales.</w:t>
      </w:r>
    </w:p>
    <w:p>
      <w:pPr>
        <w:jc w:val="both"/>
      </w:pPr>
      <w:r>
        <w:rPr>
          <w:rFonts w:ascii="Times New Roman" w:hAnsi="Times New Roman"/>
          <w:sz w:val="24"/>
        </w:rPr>
        <w:t>Adicionalmente, el escalado de variables previo a la regresion logistica fue determinante para la convergencia del optimizador y para que sus coeficientes fueran comparables en magnitud, una observacion frecuente en problemas con mezcla de variables continuas y discretas.</w:t>
      </w:r>
    </w:p>
    <w:p>
      <w:pPr>
        <w:spacing w:before="120" w:after="120"/>
        <w:ind w:firstLine="0"/>
      </w:pPr>
      <w:r>
        <w:rPr>
          <w:rFonts w:ascii="Times New Roman" w:hAnsi="Times New Roman"/>
          <w:b/>
          <w:sz w:val="26"/>
        </w:rPr>
        <w:t>Limitaciones y trabajo futuro</w:t>
      </w:r>
    </w:p>
    <w:p>
      <w:pPr>
        <w:jc w:val="both"/>
      </w:pPr>
      <w:r>
        <w:rPr>
          <w:rFonts w:ascii="Times New Roman" w:hAnsi="Times New Roman"/>
          <w:sz w:val="24"/>
        </w:rPr>
        <w:t>El estudio se limito a 303 observaciones de una sola clinica (Cleveland), lo cual restringe la generalizabilidad a otras poblaciones. Trabajo futuro deberia validar los modelos sobre los conjuntos paralelos del mismo proyecto UCI (Hungarian, Switzerland, Long Beach) y explorar modelos de ensamble como Random Forest y Gradient Boosting, asi como tecnicas de balanceo de clases en escenarios con desbalance mas pronunciado. La incorporacion de explicabilidad mediante valores SHAP permitiria reforzar la interpretabilidad clinica del modelo final.</w:t>
      </w:r>
    </w:p>
    <w:p>
      <w:r>
        <w:br w:type="page"/>
      </w:r>
    </w:p>
    <w:p>
      <w:pPr>
        <w:spacing w:before="120" w:after="120"/>
        <w:ind w:firstLine="0"/>
        <w:jc w:val="center"/>
      </w:pPr>
      <w:r>
        <w:rPr>
          <w:rFonts w:ascii="Times New Roman" w:hAnsi="Times New Roman"/>
          <w:b/>
          <w:sz w:val="28"/>
        </w:rPr>
        <w:t>Referencias</w:t>
      </w:r>
    </w:p>
    <w:p>
      <w:pPr>
        <w:ind w:left="720" w:hanging="720"/>
        <w:jc w:val="both"/>
      </w:pPr>
      <w:r>
        <w:rPr>
          <w:rFonts w:ascii="Times New Roman" w:hAnsi="Times New Roman"/>
          <w:sz w:val="24"/>
        </w:rPr>
        <w:t>Chapman, P., Clinton, J., Kerber, R., Khabaza, T., Reinartz, T., Shearer, C., y Wirth, R. (2000). CRISP-DM 1.0: Step-by-step data mining guide. SPSS Inc.</w:t>
      </w:r>
    </w:p>
    <w:p>
      <w:pPr>
        <w:ind w:left="720" w:hanging="720"/>
        <w:jc w:val="both"/>
      </w:pPr>
      <w:r>
        <w:rPr>
          <w:rFonts w:ascii="Times New Roman" w:hAnsi="Times New Roman"/>
          <w:sz w:val="24"/>
        </w:rPr>
        <w:t>Detrano, R., Janosi, A., Steinbrunn, W., Pfisterer, M., Schmid, J. J., Sandhu, S., Guppy, K. H., Lee, S., y Froelicher, V. (1989). International application of a new probability algorithm for the diagnosis of coronary artery disease. The American Journal of Cardiology, 64(5), 304-310. https://doi.org/10.1016/0002-9149(89)90524-9</w:t>
      </w:r>
    </w:p>
    <w:p>
      <w:pPr>
        <w:ind w:left="720" w:hanging="720"/>
        <w:jc w:val="both"/>
      </w:pPr>
      <w:r>
        <w:rPr>
          <w:rFonts w:ascii="Times New Roman" w:hAnsi="Times New Roman"/>
          <w:sz w:val="24"/>
        </w:rPr>
        <w:t>Dua, D., y Graff, C. (2019). UCI Machine Learning Repository. University of California, Irvine. https://archive.ics.uci.edu/ml/datasets/Heart+Disease</w:t>
      </w:r>
    </w:p>
    <w:p>
      <w:pPr>
        <w:ind w:left="720" w:hanging="720"/>
        <w:jc w:val="both"/>
      </w:pPr>
      <w:r>
        <w:rPr>
          <w:rFonts w:ascii="Times New Roman" w:hAnsi="Times New Roman"/>
          <w:sz w:val="24"/>
        </w:rPr>
        <w:t>Guyon, I., y Elisseeff, A. (2003). An introduction to variable and feature selection. Journal of Machine Learning Research, 3, 1157-1182.</w:t>
      </w:r>
    </w:p>
    <w:p>
      <w:pPr>
        <w:ind w:left="720" w:hanging="720"/>
        <w:jc w:val="both"/>
      </w:pPr>
      <w:r>
        <w:rPr>
          <w:rFonts w:ascii="Times New Roman" w:hAnsi="Times New Roman"/>
          <w:sz w:val="24"/>
        </w:rPr>
        <w:t>Hastie, T., Tibshirani, R., y Friedman, J. (2009). The elements of statistical learning: Data mining, inference, and prediction (2.a ed.). Springer. https://doi.org/10.1007/978-0-387-84858-7</w:t>
      </w:r>
    </w:p>
    <w:p>
      <w:pPr>
        <w:ind w:left="720" w:hanging="720"/>
        <w:jc w:val="both"/>
      </w:pPr>
      <w:r>
        <w:rPr>
          <w:rFonts w:ascii="Times New Roman" w:hAnsi="Times New Roman"/>
          <w:sz w:val="24"/>
        </w:rPr>
        <w:t>Jolliffe, I. T. (2002). Principal component analysis (2.a ed.). Springer. https://doi.org/10.1007/b98835</w:t>
      </w:r>
    </w:p>
    <w:p>
      <w:pPr>
        <w:ind w:left="720" w:hanging="720"/>
        <w:jc w:val="both"/>
      </w:pPr>
      <w:r>
        <w:rPr>
          <w:rFonts w:ascii="Times New Roman" w:hAnsi="Times New Roman"/>
          <w:sz w:val="24"/>
        </w:rPr>
        <w:t>Pedregosa, F., Varoquaux, G., Gramfort, A., Michel, V., Thirion, B., Grisel, O., et al. (2011). Scikit-learn: Machine learning in Python. Journal of Machine Learning Research, 12, 2825-2830.</w:t>
      </w:r>
    </w:p>
    <w:p>
      <w:pPr>
        <w:ind w:left="720" w:hanging="720"/>
        <w:jc w:val="both"/>
      </w:pPr>
      <w:r>
        <w:rPr>
          <w:rFonts w:ascii="Times New Roman" w:hAnsi="Times New Roman"/>
          <w:sz w:val="24"/>
        </w:rPr>
        <w:t>Quinlan, J. R. (1986). Induction of decision trees. Machine Learning, 1(1), 81-106. https://doi.org/10.1007/BF00116251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