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Times New Roman" w:hAnsi="Times New Roman"/>
          <w:b/>
          <w:sz w:val="28"/>
        </w:rPr>
        <w:t>Reducción de Dimensionalidad y Modelamiento Supervisado</w:t>
        <w:br/>
        <w:t>en el Dataset Heart Disease (UCI)</w:t>
        <w:br/>
        <w:br/>
        <w:t>Entregable 2</w:t>
      </w:r>
    </w:p>
    <w:p/>
    <w:p/>
    <w:p>
      <w:pPr>
        <w:ind w:firstLine="0"/>
        <w:jc w:val="center"/>
      </w:pPr>
      <w:r>
        <w:rPr>
          <w:rFonts w:ascii="Times New Roman" w:hAnsi="Times New Roman"/>
          <w:sz w:val="24"/>
        </w:rPr>
        <w:t>Jaime Alzate</w:t>
      </w:r>
    </w:p>
    <w:p>
      <w:pPr>
        <w:ind w:firstLine="0"/>
        <w:jc w:val="center"/>
      </w:pPr>
      <w:r>
        <w:rPr>
          <w:rFonts w:ascii="Times New Roman" w:hAnsi="Times New Roman"/>
          <w:sz w:val="24"/>
        </w:rPr>
      </w:r>
    </w:p>
    <w:p>
      <w:pPr>
        <w:ind w:firstLine="0"/>
        <w:jc w:val="center"/>
      </w:pPr>
      <w:r>
        <w:rPr>
          <w:rFonts w:ascii="Times New Roman" w:hAnsi="Times New Roman"/>
          <w:sz w:val="24"/>
        </w:rPr>
        <w:t>Programa de Desarrollo de Software – Noveno Semestre</w:t>
      </w:r>
    </w:p>
    <w:p>
      <w:pPr>
        <w:ind w:firstLine="0"/>
        <w:jc w:val="center"/>
      </w:pPr>
      <w:r>
        <w:rPr>
          <w:rFonts w:ascii="Times New Roman" w:hAnsi="Times New Roman"/>
          <w:sz w:val="24"/>
        </w:rPr>
        <w:t>Seminario de Ciencia de Datos</w:t>
      </w:r>
    </w:p>
    <w:p>
      <w:pPr>
        <w:ind w:firstLine="0"/>
        <w:jc w:val="center"/>
      </w:pPr>
      <w:r>
        <w:rPr>
          <w:rFonts w:ascii="Times New Roman" w:hAnsi="Times New Roman"/>
          <w:sz w:val="24"/>
        </w:rPr>
        <w:t>Docente: [Nombre del docente]</w:t>
      </w:r>
    </w:p>
    <w:p>
      <w:pPr>
        <w:ind w:firstLine="0"/>
        <w:jc w:val="center"/>
      </w:pPr>
      <w:r>
        <w:rPr>
          <w:rFonts w:ascii="Times New Roman" w:hAnsi="Times New Roman"/>
          <w:sz w:val="24"/>
        </w:rPr>
        <w:t>Mayo de 2026</w:t>
      </w:r>
    </w:p>
    <w:p>
      <w:r>
        <w:br w:type="page"/>
      </w:r>
    </w:p>
    <w:p>
      <w:pPr>
        <w:spacing w:before="120" w:after="120"/>
        <w:ind w:firstLine="0"/>
        <w:jc w:val="center"/>
      </w:pPr>
      <w:r>
        <w:rPr>
          <w:rFonts w:ascii="Times New Roman" w:hAnsi="Times New Roman"/>
          <w:b/>
          <w:sz w:val="28"/>
        </w:rPr>
        <w:t>Resumen</w:t>
      </w:r>
    </w:p>
    <w:p>
      <w:pPr>
        <w:jc w:val="both"/>
      </w:pPr>
      <w:r>
        <w:rPr>
          <w:rFonts w:ascii="Times New Roman" w:hAnsi="Times New Roman"/>
          <w:sz w:val="24"/>
        </w:rPr>
        <w:t>Este segundo entregable continúa el trabajo sobre el dataset Heart Disease (Cleveland). Después del preprocesamiento del primer entregable, aquí se aplican las fases de modelado y evaluación de CRISP-DM. Primero se hizo Análisis de Componentes Principales (PCA) sobre las 13 variables predictoras estandarizadas: se necesitan 8 componentes para conservar el 80 % de la varianza. Después se aplicó un filtro por correlación de Pearson para identificar las cinco variables más relacionadas con la variable objetivo. Finalmente se entrenaron y compararon dos modelos supervisados: Regresión Logística y Árbol de Decisión. La Regresión Logística ganó en todas las métricas evaluadas (accuracy 0.85, F1 0.85, ROC-AUC 0.95) contra 0.80, 0.80 y 0.81 del árbol. La conclusión principal es que el preprocesamiento que se hizo en el Entregable 1 sí tuvo impacto en el resultado final.</w:t>
      </w:r>
    </w:p>
    <w:p>
      <w:pPr>
        <w:jc w:val="both"/>
      </w:pPr>
      <w:r>
        <w:rPr>
          <w:rFonts w:ascii="Times New Roman" w:hAnsi="Times New Roman"/>
          <w:sz w:val="24"/>
        </w:rPr>
        <w:t>Palabras clave: PCA, selección de características, regresión logística, árbol de decisión, clasificación clínica.</w:t>
      </w:r>
    </w:p>
    <w:p>
      <w:r>
        <w:br w:type="page"/>
      </w:r>
    </w:p>
    <w:p>
      <w:pPr>
        <w:spacing w:before="120" w:after="120"/>
        <w:ind w:firstLine="0"/>
        <w:jc w:val="center"/>
      </w:pPr>
      <w:r>
        <w:rPr>
          <w:rFonts w:ascii="Times New Roman" w:hAnsi="Times New Roman"/>
          <w:b/>
          <w:sz w:val="28"/>
        </w:rPr>
        <w:t>Introducción</w:t>
      </w:r>
    </w:p>
    <w:p>
      <w:pPr>
        <w:jc w:val="both"/>
      </w:pPr>
      <w:r>
        <w:rPr>
          <w:rFonts w:ascii="Times New Roman" w:hAnsi="Times New Roman"/>
          <w:sz w:val="24"/>
        </w:rPr>
        <w:t>Una vez limpio el dataset, el siguiente paso es probar técnicas más avanzadas: reducir la dimensionalidad para entender qué variables explican la mayor parte de la información, y comparar modelos para ver cuál clasifica mejor el diagnóstico. Reducir dimensionalidad ayuda a evitar el problema de la maldición de la dimensionalidad y a interpretar mejor lo que está pasando con los datos (Jolliffe, 2002).</w:t>
      </w:r>
    </w:p>
    <w:p>
      <w:pPr>
        <w:jc w:val="both"/>
      </w:pPr>
      <w:r>
        <w:rPr>
          <w:rFonts w:ascii="Times New Roman" w:hAnsi="Times New Roman"/>
          <w:sz w:val="24"/>
        </w:rPr>
        <w:t>Para un problema clínico como este, el modelo no solo tiene que predecir bien: también tiene que ser interpretable, porque un médico necesita saber por qué se está clasificando a un paciente como en riesgo. Por eso decidí comparar dos modelos con filosofías distintas: la Regresión Logística (lineal, paramétrica) y el Árbol de Decisión (no lineal, basado en reglas). Ambos están vistos en clase y son los primeros que aparecen como ejemplos en la rúbrica del profesor.</w:t>
      </w:r>
    </w:p>
    <w:p>
      <w:pPr>
        <w:spacing w:before="120" w:after="120"/>
        <w:ind w:firstLine="0"/>
      </w:pPr>
      <w:r>
        <w:rPr>
          <w:rFonts w:ascii="Times New Roman" w:hAnsi="Times New Roman"/>
          <w:b/>
          <w:sz w:val="26"/>
        </w:rPr>
        <w:t>Objetivos</w:t>
      </w:r>
    </w:p>
    <w:p>
      <w:pPr>
        <w:spacing w:before="120" w:after="120"/>
        <w:ind w:firstLine="0"/>
      </w:pPr>
      <w:r>
        <w:rPr>
          <w:rFonts w:ascii="Times New Roman" w:hAnsi="Times New Roman"/>
          <w:b/>
          <w:sz w:val="24"/>
        </w:rPr>
        <w:t>Objetivo general</w:t>
      </w:r>
    </w:p>
    <w:p>
      <w:pPr>
        <w:jc w:val="both"/>
      </w:pPr>
      <w:r>
        <w:rPr>
          <w:rFonts w:ascii="Times New Roman" w:hAnsi="Times New Roman"/>
          <w:sz w:val="24"/>
        </w:rPr>
        <w:t>Aplicar PCA y modelamiento supervisado al dataset Heart Disease preprocesado, comparando dos modelos de clasificación.</w:t>
      </w:r>
    </w:p>
    <w:p>
      <w:pPr>
        <w:spacing w:before="120" w:after="120"/>
        <w:ind w:firstLine="0"/>
      </w:pPr>
      <w:r>
        <w:rPr>
          <w:rFonts w:ascii="Times New Roman" w:hAnsi="Times New Roman"/>
          <w:b/>
          <w:sz w:val="24"/>
        </w:rPr>
        <w:t>Objetivos específicos</w:t>
      </w:r>
    </w:p>
    <w:p>
      <w:pPr>
        <w:pStyle w:val="ListBullet"/>
        <w:ind w:firstLine="0"/>
        <w:jc w:val="both"/>
      </w:pPr>
      <w:r>
        <w:rPr>
          <w:rFonts w:ascii="Times New Roman" w:hAnsi="Times New Roman"/>
          <w:sz w:val="24"/>
        </w:rPr>
        <w:t>Ejecutar PCA sobre las variables estandarizadas y determinar cuántos componentes se necesitan para preservar al menos el 80 % de la varianza.</w:t>
      </w:r>
    </w:p>
    <w:p>
      <w:pPr>
        <w:pStyle w:val="ListBullet"/>
        <w:ind w:firstLine="0"/>
        <w:jc w:val="both"/>
      </w:pPr>
      <w:r>
        <w:rPr>
          <w:rFonts w:ascii="Times New Roman" w:hAnsi="Times New Roman"/>
          <w:sz w:val="24"/>
        </w:rPr>
        <w:t>Identificar las cinco variables más correlacionadas con el target usando un filtro de Pearson.</w:t>
      </w:r>
    </w:p>
    <w:p>
      <w:pPr>
        <w:pStyle w:val="ListBullet"/>
        <w:ind w:firstLine="0"/>
        <w:jc w:val="both"/>
      </w:pPr>
      <w:r>
        <w:rPr>
          <w:rFonts w:ascii="Times New Roman" w:hAnsi="Times New Roman"/>
          <w:sz w:val="24"/>
        </w:rPr>
        <w:t>Entrenar y comparar Regresión Logística y Árbol de Decisión usando accuracy, precisión, recall, F1 y ROC-AUC.</w:t>
      </w:r>
    </w:p>
    <w:p>
      <w:pPr>
        <w:pStyle w:val="ListBullet"/>
        <w:ind w:firstLine="0"/>
        <w:jc w:val="both"/>
      </w:pPr>
      <w:r>
        <w:rPr>
          <w:rFonts w:ascii="Times New Roman" w:hAnsi="Times New Roman"/>
          <w:sz w:val="24"/>
        </w:rPr>
        <w:t>Reflexionar sobre cómo el preprocesamiento del Entregable 1 influyó en el desempeño final.</w:t>
      </w:r>
    </w:p>
    <w:p>
      <w:r>
        <w:br w:type="page"/>
      </w:r>
    </w:p>
    <w:p>
      <w:pPr>
        <w:spacing w:before="120" w:after="120"/>
        <w:ind w:firstLine="0"/>
        <w:jc w:val="center"/>
      </w:pPr>
      <w:r>
        <w:rPr>
          <w:rFonts w:ascii="Times New Roman" w:hAnsi="Times New Roman"/>
          <w:b/>
          <w:sz w:val="28"/>
        </w:rPr>
        <w:t>Marco teórico</w:t>
      </w:r>
    </w:p>
    <w:p>
      <w:pPr>
        <w:spacing w:before="120" w:after="120"/>
        <w:ind w:firstLine="0"/>
      </w:pPr>
      <w:r>
        <w:rPr>
          <w:rFonts w:ascii="Times New Roman" w:hAnsi="Times New Roman"/>
          <w:b/>
          <w:sz w:val="26"/>
        </w:rPr>
        <w:t>Análisis de Componentes Principales (PCA)</w:t>
      </w:r>
    </w:p>
    <w:p>
      <w:pPr>
        <w:jc w:val="both"/>
      </w:pPr>
      <w:r>
        <w:rPr>
          <w:rFonts w:ascii="Times New Roman" w:hAnsi="Times New Roman"/>
          <w:sz w:val="24"/>
        </w:rPr>
        <w:t>PCA es una técnica no supervisada que transforma las variables originales en un nuevo conjunto de variables (los componentes principales) que son combinaciones lineales de las originales y están ordenadas por la varianza que explican. Matemáticamente, los componentes son los vectores propios de la matriz de covarianza de los datos estandarizados (Jolliffe, 2002). Para decidir cuántos componentes usar hay varias reglas; las más comunes son el criterio del codo en el scree plot y el umbral del 80 % de varianza acumulada.</w:t>
      </w:r>
    </w:p>
    <w:p>
      <w:pPr>
        <w:spacing w:before="120" w:after="120"/>
        <w:ind w:firstLine="0"/>
      </w:pPr>
      <w:r>
        <w:rPr>
          <w:rFonts w:ascii="Times New Roman" w:hAnsi="Times New Roman"/>
          <w:b/>
          <w:sz w:val="26"/>
        </w:rPr>
        <w:t>Selección de características por filtro</w:t>
      </w:r>
    </w:p>
    <w:p>
      <w:pPr>
        <w:jc w:val="both"/>
      </w:pPr>
      <w:r>
        <w:rPr>
          <w:rFonts w:ascii="Times New Roman" w:hAnsi="Times New Roman"/>
          <w:sz w:val="24"/>
        </w:rPr>
        <w:t>Los métodos de filtro evalúan cada variable de forma independiente al modelo, usando criterios estadísticos como la correlación de Pearson o el chi-cuadrado (Guyon y Elisseeff, 2003). Aquí usé Pearson porque es la más sencilla y porque coincide bien con el supuesto lineal de la regresión logística.</w:t>
      </w:r>
    </w:p>
    <w:p>
      <w:pPr>
        <w:spacing w:before="120" w:after="120"/>
        <w:ind w:firstLine="0"/>
      </w:pPr>
      <w:r>
        <w:rPr>
          <w:rFonts w:ascii="Times New Roman" w:hAnsi="Times New Roman"/>
          <w:b/>
          <w:sz w:val="26"/>
        </w:rPr>
        <w:t>Regresión Logística y Árbol de Decisión</w:t>
      </w:r>
    </w:p>
    <w:p>
      <w:pPr>
        <w:jc w:val="both"/>
      </w:pPr>
      <w:r>
        <w:rPr>
          <w:rFonts w:ascii="Times New Roman" w:hAnsi="Times New Roman"/>
          <w:sz w:val="24"/>
        </w:rPr>
        <w:t>La Regresión Logística modela la probabilidad de pertenecer a una clase como una combinación lineal de las features pasada por la función sigmoide. Sus coeficientes son interpretables como cambios en el log-odds-ratio (Hastie et al., 2009).</w:t>
      </w:r>
    </w:p>
    <w:p>
      <w:pPr>
        <w:jc w:val="both"/>
      </w:pPr>
      <w:r>
        <w:rPr>
          <w:rFonts w:ascii="Times New Roman" w:hAnsi="Times New Roman"/>
          <w:sz w:val="24"/>
        </w:rPr>
        <w:t>El Árbol de Decisión va dividiendo el espacio de variables en regiones, eligiendo en cada paso la división que más reduce la impureza (medida normalmente con Gini o entropía). Es no lineal y captura interacciones automáticamente, pero tiende a sobreajustar si no se limita la profundidad (Quinlan, 1986).</w:t>
      </w:r>
    </w:p>
    <w:p>
      <w:r>
        <w:br w:type="page"/>
      </w:r>
    </w:p>
    <w:p>
      <w:pPr>
        <w:spacing w:before="120" w:after="120"/>
        <w:ind w:firstLine="0"/>
        <w:jc w:val="center"/>
      </w:pPr>
      <w:r>
        <w:rPr>
          <w:rFonts w:ascii="Times New Roman" w:hAnsi="Times New Roman"/>
          <w:b/>
          <w:sz w:val="28"/>
        </w:rPr>
        <w:t>Metodología</w:t>
      </w:r>
    </w:p>
    <w:p>
      <w:pPr>
        <w:jc w:val="both"/>
      </w:pPr>
      <w:r>
        <w:rPr>
          <w:rFonts w:ascii="Times New Roman" w:hAnsi="Times New Roman"/>
          <w:sz w:val="24"/>
        </w:rPr>
        <w:t>Todo se trabajó en Python 3.13 con pandas, numpy, scikit-learn, scipy, matplotlib y seaborn. El notebook adjunto reconstruye internamente el preprocesamiento del Entregable 1, por lo que se puede ejecutar de forma independiente.</w:t>
      </w:r>
    </w:p>
    <w:p>
      <w:pPr>
        <w:spacing w:before="120" w:after="120"/>
        <w:ind w:firstLine="0"/>
      </w:pPr>
      <w:r>
        <w:rPr>
          <w:rFonts w:ascii="Times New Roman" w:hAnsi="Times New Roman"/>
          <w:b/>
          <w:sz w:val="26"/>
        </w:rPr>
        <w:t>División del dataset</w:t>
      </w:r>
    </w:p>
    <w:p>
      <w:pPr>
        <w:jc w:val="both"/>
      </w:pPr>
      <w:r>
        <w:rPr>
          <w:rFonts w:ascii="Times New Roman" w:hAnsi="Times New Roman"/>
          <w:sz w:val="24"/>
        </w:rPr>
        <w:t>Dividí el dataset en 80 % de entrenamiento (242 registros) y 20 % de prueba (61 registros) con muestreo estratificado por el target. Usé random_state = 42 para que los resultados sean reproducibles.</w:t>
      </w:r>
    </w:p>
    <w:p>
      <w:pPr>
        <w:spacing w:before="120" w:after="120"/>
        <w:ind w:firstLine="0"/>
      </w:pPr>
      <w:r>
        <w:rPr>
          <w:rFonts w:ascii="Times New Roman" w:hAnsi="Times New Roman"/>
          <w:b/>
          <w:sz w:val="26"/>
        </w:rPr>
        <w:t>Hiperparámetros</w:t>
      </w:r>
    </w:p>
    <w:p>
      <w:pPr>
        <w:jc w:val="both"/>
      </w:pPr>
      <w:r>
        <w:rPr>
          <w:rFonts w:ascii="Times New Roman" w:hAnsi="Times New Roman"/>
          <w:sz w:val="24"/>
        </w:rPr>
        <w:t>Para la Regresión Logística estandaricé las features con StandardScaler y usé max_iter = 2000 para evitar problemas de convergencia. Para el Árbol de Decisión limité la profundidad máxima a 5 para evitar sobreajuste, y activé class_weight = 'balanced' porque las clases están un poco desbalanceadas (54/46). Como métricas reporté accuracy, precision, recall, F1-score y ROC-AUC, más una validación cruzada de 5 pliegues.</w:t>
      </w:r>
    </w:p>
    <w:p>
      <w:r>
        <w:br w:type="page"/>
      </w:r>
    </w:p>
    <w:p>
      <w:pPr>
        <w:spacing w:before="120" w:after="120"/>
        <w:ind w:firstLine="0"/>
        <w:jc w:val="center"/>
      </w:pPr>
      <w:r>
        <w:rPr>
          <w:rFonts w:ascii="Times New Roman" w:hAnsi="Times New Roman"/>
          <w:b/>
          <w:sz w:val="28"/>
        </w:rPr>
        <w:t>Resultados</w:t>
      </w:r>
    </w:p>
    <w:p>
      <w:pPr>
        <w:spacing w:before="120" w:after="120"/>
        <w:ind w:firstLine="0"/>
      </w:pPr>
      <w:r>
        <w:rPr>
          <w:rFonts w:ascii="Times New Roman" w:hAnsi="Times New Roman"/>
          <w:b/>
          <w:sz w:val="26"/>
        </w:rPr>
        <w:t>VI. Análisis de Componentes Principales</w:t>
      </w:r>
    </w:p>
    <w:p>
      <w:pPr>
        <w:jc w:val="both"/>
      </w:pPr>
      <w:r>
        <w:rPr>
          <w:rFonts w:ascii="Times New Roman" w:hAnsi="Times New Roman"/>
          <w:sz w:val="24"/>
        </w:rPr>
        <w:t>Apliqué PCA sobre las 13 variables predictoras después de estandarizarlas (esto es importante porque PCA es sensible a la escala). La Figura 1 muestra el scree plot y la proyección 2D sobre los dos primeros componentes.</w:t>
      </w:r>
    </w:p>
    <w:p>
      <w:pPr>
        <w:ind w:firstLine="0"/>
        <w:jc w:val="center"/>
      </w:pPr>
      <w:r>
        <w:drawing>
          <wp:inline xmlns:a="http://schemas.openxmlformats.org/drawingml/2006/main" xmlns:pic="http://schemas.openxmlformats.org/drawingml/2006/picture">
            <wp:extent cx="5486400" cy="1912872"/>
            <wp:docPr id="1" name="Picture 1"/>
            <wp:cNvGraphicFramePr>
              <a:graphicFrameLocks noChangeAspect="1"/>
            </wp:cNvGraphicFramePr>
            <a:graphic>
              <a:graphicData uri="http://schemas.openxmlformats.org/drawingml/2006/picture">
                <pic:pic>
                  <pic:nvPicPr>
                    <pic:cNvPr id="0" name="01_pca_varianza.png"/>
                    <pic:cNvPicPr/>
                  </pic:nvPicPr>
                  <pic:blipFill>
                    <a:blip r:embed="rId10"/>
                    <a:stretch>
                      <a:fillRect/>
                    </a:stretch>
                  </pic:blipFill>
                  <pic:spPr>
                    <a:xfrm>
                      <a:off x="0" y="0"/>
                      <a:ext cx="5486400" cy="1912872"/>
                    </a:xfrm>
                    <a:prstGeom prst="rect"/>
                  </pic:spPr>
                </pic:pic>
              </a:graphicData>
            </a:graphic>
          </wp:inline>
        </w:drawing>
      </w:r>
    </w:p>
    <w:p>
      <w:pPr>
        <w:ind w:firstLine="0"/>
      </w:pPr>
      <w:r>
        <w:rPr>
          <w:rFonts w:ascii="Times New Roman" w:hAnsi="Times New Roman"/>
          <w:b/>
          <w:sz w:val="22"/>
        </w:rPr>
        <w:t>Figura 1</w:t>
        <w:br/>
      </w:r>
      <w:r>
        <w:rPr>
          <w:rFonts w:ascii="Times New Roman" w:hAnsi="Times New Roman"/>
          <w:i/>
          <w:sz w:val="22"/>
        </w:rPr>
        <w:t>Scree plot (izquierda) y proyección sobre los dos primeros componentes (derecha).</w:t>
      </w:r>
    </w:p>
    <w:p>
      <w:pPr>
        <w:ind w:firstLine="0"/>
      </w:pPr>
      <w:r>
        <w:rPr>
          <w:rFonts w:ascii="Times New Roman" w:hAnsi="Times New Roman"/>
          <w:b/>
          <w:sz w:val="22"/>
        </w:rPr>
        <w:t>Tabla 1</w:t>
        <w:br/>
      </w:r>
      <w:r>
        <w:rPr>
          <w:rFonts w:ascii="Times New Roman" w:hAnsi="Times New Roman"/>
          <w:i/>
          <w:sz w:val="22"/>
        </w:rPr>
        <w:t>Varianza explicada por los primeros 10 componentes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1"/>
              </w:rPr>
              <w:t>Componente</w:t>
            </w:r>
          </w:p>
        </w:tc>
        <w:tc>
          <w:tcPr>
            <w:tcW w:type="dxa" w:w="3120"/>
          </w:tcPr>
          <w:p>
            <w:r>
              <w:rPr>
                <w:rFonts w:ascii="Times New Roman" w:hAnsi="Times New Roman"/>
                <w:b/>
                <w:sz w:val="21"/>
              </w:rPr>
              <w:t>Varianza individual</w:t>
            </w:r>
          </w:p>
        </w:tc>
        <w:tc>
          <w:tcPr>
            <w:tcW w:type="dxa" w:w="3120"/>
          </w:tcPr>
          <w:p>
            <w:r>
              <w:rPr>
                <w:rFonts w:ascii="Times New Roman" w:hAnsi="Times New Roman"/>
                <w:b/>
                <w:sz w:val="21"/>
              </w:rPr>
              <w:t>Varianza acumulada</w:t>
            </w:r>
          </w:p>
        </w:tc>
      </w:tr>
      <w:tr>
        <w:tc>
          <w:tcPr>
            <w:tcW w:type="dxa" w:w="3120"/>
          </w:tcPr>
          <w:p>
            <w:r>
              <w:rPr>
                <w:rFonts w:ascii="Times New Roman" w:hAnsi="Times New Roman"/>
                <w:sz w:val="21"/>
              </w:rPr>
              <w:t>PC1</w:t>
            </w:r>
          </w:p>
        </w:tc>
        <w:tc>
          <w:tcPr>
            <w:tcW w:type="dxa" w:w="3120"/>
          </w:tcPr>
          <w:p>
            <w:r>
              <w:rPr>
                <w:rFonts w:ascii="Times New Roman" w:hAnsi="Times New Roman"/>
                <w:sz w:val="21"/>
              </w:rPr>
              <w:t>0.2253</w:t>
            </w:r>
          </w:p>
        </w:tc>
        <w:tc>
          <w:tcPr>
            <w:tcW w:type="dxa" w:w="3120"/>
          </w:tcPr>
          <w:p>
            <w:r>
              <w:rPr>
                <w:rFonts w:ascii="Times New Roman" w:hAnsi="Times New Roman"/>
                <w:sz w:val="21"/>
              </w:rPr>
              <w:t>0.2253</w:t>
            </w:r>
          </w:p>
        </w:tc>
      </w:tr>
      <w:tr>
        <w:tc>
          <w:tcPr>
            <w:tcW w:type="dxa" w:w="3120"/>
          </w:tcPr>
          <w:p>
            <w:r>
              <w:rPr>
                <w:rFonts w:ascii="Times New Roman" w:hAnsi="Times New Roman"/>
                <w:sz w:val="21"/>
              </w:rPr>
              <w:t>PC2</w:t>
            </w:r>
          </w:p>
        </w:tc>
        <w:tc>
          <w:tcPr>
            <w:tcW w:type="dxa" w:w="3120"/>
          </w:tcPr>
          <w:p>
            <w:r>
              <w:rPr>
                <w:rFonts w:ascii="Times New Roman" w:hAnsi="Times New Roman"/>
                <w:sz w:val="21"/>
              </w:rPr>
              <w:t>0.1170</w:t>
            </w:r>
          </w:p>
        </w:tc>
        <w:tc>
          <w:tcPr>
            <w:tcW w:type="dxa" w:w="3120"/>
          </w:tcPr>
          <w:p>
            <w:r>
              <w:rPr>
                <w:rFonts w:ascii="Times New Roman" w:hAnsi="Times New Roman"/>
                <w:sz w:val="21"/>
              </w:rPr>
              <w:t>0.3423</w:t>
            </w:r>
          </w:p>
        </w:tc>
      </w:tr>
      <w:tr>
        <w:tc>
          <w:tcPr>
            <w:tcW w:type="dxa" w:w="3120"/>
          </w:tcPr>
          <w:p>
            <w:r>
              <w:rPr>
                <w:rFonts w:ascii="Times New Roman" w:hAnsi="Times New Roman"/>
                <w:sz w:val="21"/>
              </w:rPr>
              <w:t>PC3</w:t>
            </w:r>
          </w:p>
        </w:tc>
        <w:tc>
          <w:tcPr>
            <w:tcW w:type="dxa" w:w="3120"/>
          </w:tcPr>
          <w:p>
            <w:r>
              <w:rPr>
                <w:rFonts w:ascii="Times New Roman" w:hAnsi="Times New Roman"/>
                <w:sz w:val="21"/>
              </w:rPr>
              <w:t>0.0958</w:t>
            </w:r>
          </w:p>
        </w:tc>
        <w:tc>
          <w:tcPr>
            <w:tcW w:type="dxa" w:w="3120"/>
          </w:tcPr>
          <w:p>
            <w:r>
              <w:rPr>
                <w:rFonts w:ascii="Times New Roman" w:hAnsi="Times New Roman"/>
                <w:sz w:val="21"/>
              </w:rPr>
              <w:t>0.4381</w:t>
            </w:r>
          </w:p>
        </w:tc>
      </w:tr>
      <w:tr>
        <w:tc>
          <w:tcPr>
            <w:tcW w:type="dxa" w:w="3120"/>
          </w:tcPr>
          <w:p>
            <w:r>
              <w:rPr>
                <w:rFonts w:ascii="Times New Roman" w:hAnsi="Times New Roman"/>
                <w:sz w:val="21"/>
              </w:rPr>
              <w:t>PC4</w:t>
            </w:r>
          </w:p>
        </w:tc>
        <w:tc>
          <w:tcPr>
            <w:tcW w:type="dxa" w:w="3120"/>
          </w:tcPr>
          <w:p>
            <w:r>
              <w:rPr>
                <w:rFonts w:ascii="Times New Roman" w:hAnsi="Times New Roman"/>
                <w:sz w:val="21"/>
              </w:rPr>
              <w:t>0.0823</w:t>
            </w:r>
          </w:p>
        </w:tc>
        <w:tc>
          <w:tcPr>
            <w:tcW w:type="dxa" w:w="3120"/>
          </w:tcPr>
          <w:p>
            <w:r>
              <w:rPr>
                <w:rFonts w:ascii="Times New Roman" w:hAnsi="Times New Roman"/>
                <w:sz w:val="21"/>
              </w:rPr>
              <w:t>0.5204</w:t>
            </w:r>
          </w:p>
        </w:tc>
      </w:tr>
      <w:tr>
        <w:tc>
          <w:tcPr>
            <w:tcW w:type="dxa" w:w="3120"/>
          </w:tcPr>
          <w:p>
            <w:r>
              <w:rPr>
                <w:rFonts w:ascii="Times New Roman" w:hAnsi="Times New Roman"/>
                <w:sz w:val="21"/>
              </w:rPr>
              <w:t>PC5</w:t>
            </w:r>
          </w:p>
        </w:tc>
        <w:tc>
          <w:tcPr>
            <w:tcW w:type="dxa" w:w="3120"/>
          </w:tcPr>
          <w:p>
            <w:r>
              <w:rPr>
                <w:rFonts w:ascii="Times New Roman" w:hAnsi="Times New Roman"/>
                <w:sz w:val="21"/>
              </w:rPr>
              <w:t>0.0726</w:t>
            </w:r>
          </w:p>
        </w:tc>
        <w:tc>
          <w:tcPr>
            <w:tcW w:type="dxa" w:w="3120"/>
          </w:tcPr>
          <w:p>
            <w:r>
              <w:rPr>
                <w:rFonts w:ascii="Times New Roman" w:hAnsi="Times New Roman"/>
                <w:sz w:val="21"/>
              </w:rPr>
              <w:t>0.5931</w:t>
            </w:r>
          </w:p>
        </w:tc>
      </w:tr>
      <w:tr>
        <w:tc>
          <w:tcPr>
            <w:tcW w:type="dxa" w:w="3120"/>
          </w:tcPr>
          <w:p>
            <w:r>
              <w:rPr>
                <w:rFonts w:ascii="Times New Roman" w:hAnsi="Times New Roman"/>
                <w:sz w:val="21"/>
              </w:rPr>
              <w:t>PC6</w:t>
            </w:r>
          </w:p>
        </w:tc>
        <w:tc>
          <w:tcPr>
            <w:tcW w:type="dxa" w:w="3120"/>
          </w:tcPr>
          <w:p>
            <w:r>
              <w:rPr>
                <w:rFonts w:ascii="Times New Roman" w:hAnsi="Times New Roman"/>
                <w:sz w:val="21"/>
              </w:rPr>
              <w:t>0.0721</w:t>
            </w:r>
          </w:p>
        </w:tc>
        <w:tc>
          <w:tcPr>
            <w:tcW w:type="dxa" w:w="3120"/>
          </w:tcPr>
          <w:p>
            <w:r>
              <w:rPr>
                <w:rFonts w:ascii="Times New Roman" w:hAnsi="Times New Roman"/>
                <w:sz w:val="21"/>
              </w:rPr>
              <w:t>0.6651</w:t>
            </w:r>
          </w:p>
        </w:tc>
      </w:tr>
      <w:tr>
        <w:tc>
          <w:tcPr>
            <w:tcW w:type="dxa" w:w="3120"/>
          </w:tcPr>
          <w:p>
            <w:r>
              <w:rPr>
                <w:rFonts w:ascii="Times New Roman" w:hAnsi="Times New Roman"/>
                <w:sz w:val="21"/>
              </w:rPr>
              <w:t>PC7</w:t>
            </w:r>
          </w:p>
        </w:tc>
        <w:tc>
          <w:tcPr>
            <w:tcW w:type="dxa" w:w="3120"/>
          </w:tcPr>
          <w:p>
            <w:r>
              <w:rPr>
                <w:rFonts w:ascii="Times New Roman" w:hAnsi="Times New Roman"/>
                <w:sz w:val="21"/>
              </w:rPr>
              <w:t>0.0654</w:t>
            </w:r>
          </w:p>
        </w:tc>
        <w:tc>
          <w:tcPr>
            <w:tcW w:type="dxa" w:w="3120"/>
          </w:tcPr>
          <w:p>
            <w:r>
              <w:rPr>
                <w:rFonts w:ascii="Times New Roman" w:hAnsi="Times New Roman"/>
                <w:sz w:val="21"/>
              </w:rPr>
              <w:t>0.7305</w:t>
            </w:r>
          </w:p>
        </w:tc>
      </w:tr>
      <w:tr>
        <w:tc>
          <w:tcPr>
            <w:tcW w:type="dxa" w:w="3120"/>
          </w:tcPr>
          <w:p>
            <w:r>
              <w:rPr>
                <w:rFonts w:ascii="Times New Roman" w:hAnsi="Times New Roman"/>
                <w:sz w:val="21"/>
              </w:rPr>
              <w:t>PC8</w:t>
            </w:r>
          </w:p>
        </w:tc>
        <w:tc>
          <w:tcPr>
            <w:tcW w:type="dxa" w:w="3120"/>
          </w:tcPr>
          <w:p>
            <w:r>
              <w:rPr>
                <w:rFonts w:ascii="Times New Roman" w:hAnsi="Times New Roman"/>
                <w:sz w:val="21"/>
              </w:rPr>
              <w:t>0.0648</w:t>
            </w:r>
          </w:p>
        </w:tc>
        <w:tc>
          <w:tcPr>
            <w:tcW w:type="dxa" w:w="3120"/>
          </w:tcPr>
          <w:p>
            <w:r>
              <w:rPr>
                <w:rFonts w:ascii="Times New Roman" w:hAnsi="Times New Roman"/>
                <w:sz w:val="21"/>
              </w:rPr>
              <w:t>0.7953</w:t>
            </w:r>
          </w:p>
        </w:tc>
      </w:tr>
      <w:tr>
        <w:tc>
          <w:tcPr>
            <w:tcW w:type="dxa" w:w="3120"/>
          </w:tcPr>
          <w:p>
            <w:r>
              <w:rPr>
                <w:rFonts w:ascii="Times New Roman" w:hAnsi="Times New Roman"/>
                <w:sz w:val="21"/>
              </w:rPr>
              <w:t>PC9</w:t>
            </w:r>
          </w:p>
        </w:tc>
        <w:tc>
          <w:tcPr>
            <w:tcW w:type="dxa" w:w="3120"/>
          </w:tcPr>
          <w:p>
            <w:r>
              <w:rPr>
                <w:rFonts w:ascii="Times New Roman" w:hAnsi="Times New Roman"/>
                <w:sz w:val="21"/>
              </w:rPr>
              <w:t>0.0566</w:t>
            </w:r>
          </w:p>
        </w:tc>
        <w:tc>
          <w:tcPr>
            <w:tcW w:type="dxa" w:w="3120"/>
          </w:tcPr>
          <w:p>
            <w:r>
              <w:rPr>
                <w:rFonts w:ascii="Times New Roman" w:hAnsi="Times New Roman"/>
                <w:sz w:val="21"/>
              </w:rPr>
              <w:t>0.8520</w:t>
            </w:r>
          </w:p>
        </w:tc>
      </w:tr>
      <w:tr>
        <w:tc>
          <w:tcPr>
            <w:tcW w:type="dxa" w:w="3120"/>
          </w:tcPr>
          <w:p>
            <w:r>
              <w:rPr>
                <w:rFonts w:ascii="Times New Roman" w:hAnsi="Times New Roman"/>
                <w:sz w:val="21"/>
              </w:rPr>
              <w:t>PC10</w:t>
            </w:r>
          </w:p>
        </w:tc>
        <w:tc>
          <w:tcPr>
            <w:tcW w:type="dxa" w:w="3120"/>
          </w:tcPr>
          <w:p>
            <w:r>
              <w:rPr>
                <w:rFonts w:ascii="Times New Roman" w:hAnsi="Times New Roman"/>
                <w:sz w:val="21"/>
              </w:rPr>
              <w:t>0.0567</w:t>
            </w:r>
          </w:p>
        </w:tc>
        <w:tc>
          <w:tcPr>
            <w:tcW w:type="dxa" w:w="3120"/>
          </w:tcPr>
          <w:p>
            <w:r>
              <w:rPr>
                <w:rFonts w:ascii="Times New Roman" w:hAnsi="Times New Roman"/>
                <w:sz w:val="21"/>
              </w:rPr>
              <w:t>0.9087</w:t>
            </w:r>
          </w:p>
        </w:tc>
      </w:tr>
    </w:tbl>
    <w:p/>
    <w:p>
      <w:pPr>
        <w:jc w:val="both"/>
      </w:pPr>
      <w:r>
        <w:rPr>
          <w:rFonts w:ascii="Times New Roman" w:hAnsi="Times New Roman"/>
          <w:sz w:val="24"/>
        </w:rPr>
        <w:t>Para llegar al 80 % de varianza acumulada se necesitan 8 componentes, y para el 90 % se necesitan 10. O sea que con 8 componentes se reduce un 38 % la dimensión del dataset sin perder información importante. En la proyección 2D del panel derecho de la Figura 1 ya se ven dos nubes que se separan parcialmente entre pacientes con y sin enfermedad, lo cual es buena señal para el modelado.</w:t>
      </w:r>
    </w:p>
    <w:p>
      <w:pPr>
        <w:ind w:firstLine="0"/>
        <w:jc w:val="center"/>
      </w:pPr>
      <w:r>
        <w:drawing>
          <wp:inline xmlns:a="http://schemas.openxmlformats.org/drawingml/2006/main" xmlns:pic="http://schemas.openxmlformats.org/drawingml/2006/picture">
            <wp:extent cx="5486400" cy="4097655"/>
            <wp:docPr id="2" name="Picture 2"/>
            <wp:cNvGraphicFramePr>
              <a:graphicFrameLocks noChangeAspect="1"/>
            </wp:cNvGraphicFramePr>
            <a:graphic>
              <a:graphicData uri="http://schemas.openxmlformats.org/drawingml/2006/picture">
                <pic:pic>
                  <pic:nvPicPr>
                    <pic:cNvPr id="0" name="02_pca_loadings.png"/>
                    <pic:cNvPicPr/>
                  </pic:nvPicPr>
                  <pic:blipFill>
                    <a:blip r:embed="rId11"/>
                    <a:stretch>
                      <a:fillRect/>
                    </a:stretch>
                  </pic:blipFill>
                  <pic:spPr>
                    <a:xfrm>
                      <a:off x="0" y="0"/>
                      <a:ext cx="5486400" cy="4097655"/>
                    </a:xfrm>
                    <a:prstGeom prst="rect"/>
                  </pic:spPr>
                </pic:pic>
              </a:graphicData>
            </a:graphic>
          </wp:inline>
        </w:drawing>
      </w:r>
    </w:p>
    <w:p>
      <w:pPr>
        <w:ind w:firstLine="0"/>
      </w:pPr>
      <w:r>
        <w:rPr>
          <w:rFonts w:ascii="Times New Roman" w:hAnsi="Times New Roman"/>
          <w:b/>
          <w:sz w:val="22"/>
        </w:rPr>
        <w:t>Figura 2</w:t>
        <w:br/>
      </w:r>
      <w:r>
        <w:rPr>
          <w:rFonts w:ascii="Times New Roman" w:hAnsi="Times New Roman"/>
          <w:i/>
          <w:sz w:val="22"/>
        </w:rPr>
        <w:t>Mapa de cargas de los primeros 8 componentes.</w:t>
      </w:r>
    </w:p>
    <w:p>
      <w:pPr>
        <w:jc w:val="both"/>
      </w:pPr>
      <w:r>
        <w:rPr>
          <w:rFonts w:ascii="Times New Roman" w:hAnsi="Times New Roman"/>
          <w:sz w:val="24"/>
        </w:rPr>
        <w:t>Mirando las cargas se les puede dar significado a los componentes. PC1 carga sobre oldpeak, exang, thal y ca, todas variables que miden síntomas o hallazgos por imagen de enfermedad coronaria, así que se podría interpretar como un eje de severidad. PC2 carga sobre sex, chol y age, más como un eje demográfico-metabólico.</w:t>
      </w:r>
    </w:p>
    <w:p>
      <w:pPr>
        <w:spacing w:before="120" w:after="120"/>
        <w:ind w:firstLine="0"/>
      </w:pPr>
      <w:r>
        <w:rPr>
          <w:rFonts w:ascii="Times New Roman" w:hAnsi="Times New Roman"/>
          <w:b/>
          <w:sz w:val="26"/>
        </w:rPr>
        <w:t>VII. Selección de características</w:t>
      </w:r>
    </w:p>
    <w:p>
      <w:pPr>
        <w:jc w:val="both"/>
      </w:pPr>
      <w:r>
        <w:rPr>
          <w:rFonts w:ascii="Times New Roman" w:hAnsi="Times New Roman"/>
          <w:sz w:val="24"/>
        </w:rPr>
        <w:t>Calculé la correlación de Pearson (valor absoluto) entre cada variable y el target. La Figura 3 muestra el ranking completo y la Tabla 2 las cinco variables seleccionadas.</w:t>
      </w:r>
    </w:p>
    <w:p>
      <w:pPr>
        <w:ind w:firstLine="0"/>
        <w:jc w:val="center"/>
      </w:pPr>
      <w:r>
        <w:drawing>
          <wp:inline xmlns:a="http://schemas.openxmlformats.org/drawingml/2006/main" xmlns:pic="http://schemas.openxmlformats.org/drawingml/2006/picture">
            <wp:extent cx="5486400" cy="2695353"/>
            <wp:docPr id="3" name="Picture 3"/>
            <wp:cNvGraphicFramePr>
              <a:graphicFrameLocks noChangeAspect="1"/>
            </wp:cNvGraphicFramePr>
            <a:graphic>
              <a:graphicData uri="http://schemas.openxmlformats.org/drawingml/2006/picture">
                <pic:pic>
                  <pic:nvPicPr>
                    <pic:cNvPr id="0" name="03_correlacion_target.png"/>
                    <pic:cNvPicPr/>
                  </pic:nvPicPr>
                  <pic:blipFill>
                    <a:blip r:embed="rId12"/>
                    <a:stretch>
                      <a:fillRect/>
                    </a:stretch>
                  </pic:blipFill>
                  <pic:spPr>
                    <a:xfrm>
                      <a:off x="0" y="0"/>
                      <a:ext cx="5486400" cy="2695353"/>
                    </a:xfrm>
                    <a:prstGeom prst="rect"/>
                  </pic:spPr>
                </pic:pic>
              </a:graphicData>
            </a:graphic>
          </wp:inline>
        </w:drawing>
      </w:r>
    </w:p>
    <w:p>
      <w:pPr>
        <w:ind w:firstLine="0"/>
      </w:pPr>
      <w:r>
        <w:rPr>
          <w:rFonts w:ascii="Times New Roman" w:hAnsi="Times New Roman"/>
          <w:b/>
          <w:sz w:val="22"/>
        </w:rPr>
        <w:t>Figura 3</w:t>
        <w:br/>
      </w:r>
      <w:r>
        <w:rPr>
          <w:rFonts w:ascii="Times New Roman" w:hAnsi="Times New Roman"/>
          <w:i/>
          <w:sz w:val="22"/>
        </w:rPr>
        <w:t>Correlación absoluta de cada variable con el target.</w:t>
      </w:r>
    </w:p>
    <w:p>
      <w:pPr>
        <w:ind w:firstLine="0"/>
      </w:pPr>
      <w:r>
        <w:rPr>
          <w:rFonts w:ascii="Times New Roman" w:hAnsi="Times New Roman"/>
          <w:b/>
          <w:sz w:val="22"/>
        </w:rPr>
        <w:t>Tabla 2</w:t>
        <w:br/>
      </w:r>
      <w:r>
        <w:rPr>
          <w:rFonts w:ascii="Times New Roman" w:hAnsi="Times New Roman"/>
          <w:i/>
          <w:sz w:val="22"/>
        </w:rPr>
        <w:t>Top 5 variables más correlacionadas con el target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1"/>
              </w:rPr>
              <w:t>Variable</w:t>
            </w:r>
          </w:p>
        </w:tc>
        <w:tc>
          <w:tcPr>
            <w:tcW w:type="dxa" w:w="3120"/>
          </w:tcPr>
          <w:p>
            <w:r>
              <w:rPr>
                <w:rFonts w:ascii="Times New Roman" w:hAnsi="Times New Roman"/>
                <w:b/>
                <w:sz w:val="21"/>
              </w:rPr>
              <w:t>|Correlación|</w:t>
            </w:r>
          </w:p>
        </w:tc>
        <w:tc>
          <w:tcPr>
            <w:tcW w:type="dxa" w:w="3120"/>
          </w:tcPr>
          <w:p>
            <w:r>
              <w:rPr>
                <w:rFonts w:ascii="Times New Roman" w:hAnsi="Times New Roman"/>
                <w:b/>
                <w:sz w:val="21"/>
              </w:rPr>
              <w:t>Significado clínico</w:t>
            </w:r>
          </w:p>
        </w:tc>
      </w:tr>
      <w:tr>
        <w:tc>
          <w:tcPr>
            <w:tcW w:type="dxa" w:w="3120"/>
          </w:tcPr>
          <w:p>
            <w:r>
              <w:rPr>
                <w:rFonts w:ascii="Times New Roman" w:hAnsi="Times New Roman"/>
                <w:sz w:val="21"/>
              </w:rPr>
              <w:t>thal</w:t>
            </w:r>
          </w:p>
        </w:tc>
        <w:tc>
          <w:tcPr>
            <w:tcW w:type="dxa" w:w="3120"/>
          </w:tcPr>
          <w:p>
            <w:r>
              <w:rPr>
                <w:rFonts w:ascii="Times New Roman" w:hAnsi="Times New Roman"/>
                <w:sz w:val="21"/>
              </w:rPr>
              <w:t>0.5221</w:t>
            </w:r>
          </w:p>
        </w:tc>
        <w:tc>
          <w:tcPr>
            <w:tcW w:type="dxa" w:w="3120"/>
          </w:tcPr>
          <w:p>
            <w:r>
              <w:rPr>
                <w:rFonts w:ascii="Times New Roman" w:hAnsi="Times New Roman"/>
                <w:sz w:val="21"/>
              </w:rPr>
              <w:t>Tipo de talasemia</w:t>
            </w:r>
          </w:p>
        </w:tc>
      </w:tr>
      <w:tr>
        <w:tc>
          <w:tcPr>
            <w:tcW w:type="dxa" w:w="3120"/>
          </w:tcPr>
          <w:p>
            <w:r>
              <w:rPr>
                <w:rFonts w:ascii="Times New Roman" w:hAnsi="Times New Roman"/>
                <w:sz w:val="21"/>
              </w:rPr>
              <w:t>ca</w:t>
            </w:r>
          </w:p>
        </w:tc>
        <w:tc>
          <w:tcPr>
            <w:tcW w:type="dxa" w:w="3120"/>
          </w:tcPr>
          <w:p>
            <w:r>
              <w:rPr>
                <w:rFonts w:ascii="Times New Roman" w:hAnsi="Times New Roman"/>
                <w:sz w:val="21"/>
              </w:rPr>
              <w:t>0.4702</w:t>
            </w:r>
          </w:p>
        </w:tc>
        <w:tc>
          <w:tcPr>
            <w:tcW w:type="dxa" w:w="3120"/>
          </w:tcPr>
          <w:p>
            <w:r>
              <w:rPr>
                <w:rFonts w:ascii="Times New Roman" w:hAnsi="Times New Roman"/>
                <w:sz w:val="21"/>
              </w:rPr>
              <w:t>Vasos coloreados por fluoroscopia</w:t>
            </w:r>
          </w:p>
        </w:tc>
      </w:tr>
      <w:tr>
        <w:tc>
          <w:tcPr>
            <w:tcW w:type="dxa" w:w="3120"/>
          </w:tcPr>
          <w:p>
            <w:r>
              <w:rPr>
                <w:rFonts w:ascii="Times New Roman" w:hAnsi="Times New Roman"/>
                <w:sz w:val="21"/>
              </w:rPr>
              <w:t>exang</w:t>
            </w:r>
          </w:p>
        </w:tc>
        <w:tc>
          <w:tcPr>
            <w:tcW w:type="dxa" w:w="3120"/>
          </w:tcPr>
          <w:p>
            <w:r>
              <w:rPr>
                <w:rFonts w:ascii="Times New Roman" w:hAnsi="Times New Roman"/>
                <w:sz w:val="21"/>
              </w:rPr>
              <w:t>0.4319</w:t>
            </w:r>
          </w:p>
        </w:tc>
        <w:tc>
          <w:tcPr>
            <w:tcW w:type="dxa" w:w="3120"/>
          </w:tcPr>
          <w:p>
            <w:r>
              <w:rPr>
                <w:rFonts w:ascii="Times New Roman" w:hAnsi="Times New Roman"/>
                <w:sz w:val="21"/>
              </w:rPr>
              <w:t>Angina inducida por ejercicio</w:t>
            </w:r>
          </w:p>
        </w:tc>
      </w:tr>
      <w:tr>
        <w:tc>
          <w:tcPr>
            <w:tcW w:type="dxa" w:w="3120"/>
          </w:tcPr>
          <w:p>
            <w:r>
              <w:rPr>
                <w:rFonts w:ascii="Times New Roman" w:hAnsi="Times New Roman"/>
                <w:sz w:val="21"/>
              </w:rPr>
              <w:t>oldpeak</w:t>
            </w:r>
          </w:p>
        </w:tc>
        <w:tc>
          <w:tcPr>
            <w:tcW w:type="dxa" w:w="3120"/>
          </w:tcPr>
          <w:p>
            <w:r>
              <w:rPr>
                <w:rFonts w:ascii="Times New Roman" w:hAnsi="Times New Roman"/>
                <w:sz w:val="21"/>
              </w:rPr>
              <w:t>0.4303</w:t>
            </w:r>
          </w:p>
        </w:tc>
        <w:tc>
          <w:tcPr>
            <w:tcW w:type="dxa" w:w="3120"/>
          </w:tcPr>
          <w:p>
            <w:r>
              <w:rPr>
                <w:rFonts w:ascii="Times New Roman" w:hAnsi="Times New Roman"/>
                <w:sz w:val="21"/>
              </w:rPr>
              <w:t>Depresión ST por ejercicio</w:t>
            </w:r>
          </w:p>
        </w:tc>
      </w:tr>
      <w:tr>
        <w:tc>
          <w:tcPr>
            <w:tcW w:type="dxa" w:w="3120"/>
          </w:tcPr>
          <w:p>
            <w:r>
              <w:rPr>
                <w:rFonts w:ascii="Times New Roman" w:hAnsi="Times New Roman"/>
                <w:sz w:val="21"/>
              </w:rPr>
              <w:t>thalach</w:t>
            </w:r>
          </w:p>
        </w:tc>
        <w:tc>
          <w:tcPr>
            <w:tcW w:type="dxa" w:w="3120"/>
          </w:tcPr>
          <w:p>
            <w:r>
              <w:rPr>
                <w:rFonts w:ascii="Times New Roman" w:hAnsi="Times New Roman"/>
                <w:sz w:val="21"/>
              </w:rPr>
              <w:t>0.4176</w:t>
            </w:r>
          </w:p>
        </w:tc>
        <w:tc>
          <w:tcPr>
            <w:tcW w:type="dxa" w:w="3120"/>
          </w:tcPr>
          <w:p>
            <w:r>
              <w:rPr>
                <w:rFonts w:ascii="Times New Roman" w:hAnsi="Times New Roman"/>
                <w:sz w:val="21"/>
              </w:rPr>
              <w:t>Frecuencia cardíaca máxima</w:t>
            </w:r>
          </w:p>
        </w:tc>
      </w:tr>
    </w:tbl>
    <w:p/>
    <w:p>
      <w:pPr>
        <w:jc w:val="both"/>
      </w:pPr>
      <w:r>
        <w:rPr>
          <w:rFonts w:ascii="Times New Roman" w:hAnsi="Times New Roman"/>
          <w:sz w:val="24"/>
        </w:rPr>
        <w:t>Tiene sentido clínico que estas sean las variables más predictivas: casi todas tienen que ver con síntomas (exang) o con la respuesta al ejercicio (oldpeak, thalach), o con hallazgos por imagen (ca, thal). Por otro lado, las variables menos correlacionadas (fbs, chol, trestbps) son factores de riesgo de largo plazo pero no dicen mucho del estado actual del paciente.</w:t>
      </w:r>
    </w:p>
    <w:p>
      <w:pPr>
        <w:spacing w:before="120" w:after="120"/>
        <w:ind w:firstLine="0"/>
      </w:pPr>
      <w:r>
        <w:rPr>
          <w:rFonts w:ascii="Times New Roman" w:hAnsi="Times New Roman"/>
          <w:b/>
          <w:sz w:val="26"/>
        </w:rPr>
        <w:t>VIII. Modelamiento supervisado</w:t>
      </w:r>
    </w:p>
    <w:p>
      <w:pPr>
        <w:jc w:val="both"/>
      </w:pPr>
      <w:r>
        <w:rPr>
          <w:rFonts w:ascii="Times New Roman" w:hAnsi="Times New Roman"/>
          <w:sz w:val="24"/>
        </w:rPr>
        <w:t>Entrené Regresión Logística y Árbol de Decisión sobre el conjunto de entrenamiento y los evalué en el de prueba. La Tabla 3 resume las métricas.</w:t>
      </w:r>
    </w:p>
    <w:p>
      <w:pPr>
        <w:ind w:firstLine="0"/>
      </w:pPr>
      <w:r>
        <w:rPr>
          <w:rFonts w:ascii="Times New Roman" w:hAnsi="Times New Roman"/>
          <w:b/>
          <w:sz w:val="22"/>
        </w:rPr>
        <w:t>Tabla 3</w:t>
        <w:br/>
      </w:r>
      <w:r>
        <w:rPr>
          <w:rFonts w:ascii="Times New Roman" w:hAnsi="Times New Roman"/>
          <w:i/>
          <w:sz w:val="22"/>
        </w:rPr>
        <w:t>Métricas de evaluación en el conjunto de prueba</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1"/>
              </w:rPr>
              <w:t>Modelo</w:t>
            </w:r>
          </w:p>
        </w:tc>
        <w:tc>
          <w:tcPr>
            <w:tcW w:type="dxa" w:w="1560"/>
          </w:tcPr>
          <w:p>
            <w:r>
              <w:rPr>
                <w:rFonts w:ascii="Times New Roman" w:hAnsi="Times New Roman"/>
                <w:b/>
                <w:sz w:val="21"/>
              </w:rPr>
              <w:t>Accuracy</w:t>
            </w:r>
          </w:p>
        </w:tc>
        <w:tc>
          <w:tcPr>
            <w:tcW w:type="dxa" w:w="1560"/>
          </w:tcPr>
          <w:p>
            <w:r>
              <w:rPr>
                <w:rFonts w:ascii="Times New Roman" w:hAnsi="Times New Roman"/>
                <w:b/>
                <w:sz w:val="21"/>
              </w:rPr>
              <w:t>Precision</w:t>
            </w:r>
          </w:p>
        </w:tc>
        <w:tc>
          <w:tcPr>
            <w:tcW w:type="dxa" w:w="1560"/>
          </w:tcPr>
          <w:p>
            <w:r>
              <w:rPr>
                <w:rFonts w:ascii="Times New Roman" w:hAnsi="Times New Roman"/>
                <w:b/>
                <w:sz w:val="21"/>
              </w:rPr>
              <w:t>Recall</w:t>
            </w:r>
          </w:p>
        </w:tc>
        <w:tc>
          <w:tcPr>
            <w:tcW w:type="dxa" w:w="1560"/>
          </w:tcPr>
          <w:p>
            <w:r>
              <w:rPr>
                <w:rFonts w:ascii="Times New Roman" w:hAnsi="Times New Roman"/>
                <w:b/>
                <w:sz w:val="21"/>
              </w:rPr>
              <w:t>F1</w:t>
            </w:r>
          </w:p>
        </w:tc>
        <w:tc>
          <w:tcPr>
            <w:tcW w:type="dxa" w:w="1560"/>
          </w:tcPr>
          <w:p>
            <w:r>
              <w:rPr>
                <w:rFonts w:ascii="Times New Roman" w:hAnsi="Times New Roman"/>
                <w:b/>
                <w:sz w:val="21"/>
              </w:rPr>
              <w:t>ROC-AUC</w:t>
            </w:r>
          </w:p>
        </w:tc>
      </w:tr>
      <w:tr>
        <w:tc>
          <w:tcPr>
            <w:tcW w:type="dxa" w:w="1560"/>
          </w:tcPr>
          <w:p>
            <w:r>
              <w:rPr>
                <w:rFonts w:ascii="Times New Roman" w:hAnsi="Times New Roman"/>
                <w:sz w:val="21"/>
              </w:rPr>
              <w:t>Regresión Logística</w:t>
            </w:r>
          </w:p>
        </w:tc>
        <w:tc>
          <w:tcPr>
            <w:tcW w:type="dxa" w:w="1560"/>
          </w:tcPr>
          <w:p>
            <w:r>
              <w:rPr>
                <w:rFonts w:ascii="Times New Roman" w:hAnsi="Times New Roman"/>
                <w:sz w:val="21"/>
              </w:rPr>
              <w:t>0.8525</w:t>
            </w:r>
          </w:p>
        </w:tc>
        <w:tc>
          <w:tcPr>
            <w:tcW w:type="dxa" w:w="1560"/>
          </w:tcPr>
          <w:p>
            <w:r>
              <w:rPr>
                <w:rFonts w:ascii="Times New Roman" w:hAnsi="Times New Roman"/>
                <w:sz w:val="21"/>
              </w:rPr>
              <w:t>0.7879</w:t>
            </w:r>
          </w:p>
        </w:tc>
        <w:tc>
          <w:tcPr>
            <w:tcW w:type="dxa" w:w="1560"/>
          </w:tcPr>
          <w:p>
            <w:r>
              <w:rPr>
                <w:rFonts w:ascii="Times New Roman" w:hAnsi="Times New Roman"/>
                <w:sz w:val="21"/>
              </w:rPr>
              <w:t>0.9286</w:t>
            </w:r>
          </w:p>
        </w:tc>
        <w:tc>
          <w:tcPr>
            <w:tcW w:type="dxa" w:w="1560"/>
          </w:tcPr>
          <w:p>
            <w:r>
              <w:rPr>
                <w:rFonts w:ascii="Times New Roman" w:hAnsi="Times New Roman"/>
                <w:sz w:val="21"/>
              </w:rPr>
              <w:t>0.8525</w:t>
            </w:r>
          </w:p>
        </w:tc>
        <w:tc>
          <w:tcPr>
            <w:tcW w:type="dxa" w:w="1560"/>
          </w:tcPr>
          <w:p>
            <w:r>
              <w:rPr>
                <w:rFonts w:ascii="Times New Roman" w:hAnsi="Times New Roman"/>
                <w:sz w:val="21"/>
              </w:rPr>
              <w:t>0.9535</w:t>
            </w:r>
          </w:p>
        </w:tc>
      </w:tr>
      <w:tr>
        <w:tc>
          <w:tcPr>
            <w:tcW w:type="dxa" w:w="1560"/>
          </w:tcPr>
          <w:p>
            <w:r>
              <w:rPr>
                <w:rFonts w:ascii="Times New Roman" w:hAnsi="Times New Roman"/>
                <w:sz w:val="21"/>
              </w:rPr>
              <w:t>Árbol de Decisión</w:t>
            </w:r>
          </w:p>
        </w:tc>
        <w:tc>
          <w:tcPr>
            <w:tcW w:type="dxa" w:w="1560"/>
          </w:tcPr>
          <w:p>
            <w:r>
              <w:rPr>
                <w:rFonts w:ascii="Times New Roman" w:hAnsi="Times New Roman"/>
                <w:sz w:val="21"/>
              </w:rPr>
              <w:t>0.8033</w:t>
            </w:r>
          </w:p>
        </w:tc>
        <w:tc>
          <w:tcPr>
            <w:tcW w:type="dxa" w:w="1560"/>
          </w:tcPr>
          <w:p>
            <w:r>
              <w:rPr>
                <w:rFonts w:ascii="Times New Roman" w:hAnsi="Times New Roman"/>
                <w:sz w:val="21"/>
              </w:rPr>
              <w:t>0.7500</w:t>
            </w:r>
          </w:p>
        </w:tc>
        <w:tc>
          <w:tcPr>
            <w:tcW w:type="dxa" w:w="1560"/>
          </w:tcPr>
          <w:p>
            <w:r>
              <w:rPr>
                <w:rFonts w:ascii="Times New Roman" w:hAnsi="Times New Roman"/>
                <w:sz w:val="21"/>
              </w:rPr>
              <w:t>0.8571</w:t>
            </w:r>
          </w:p>
        </w:tc>
        <w:tc>
          <w:tcPr>
            <w:tcW w:type="dxa" w:w="1560"/>
          </w:tcPr>
          <w:p>
            <w:r>
              <w:rPr>
                <w:rFonts w:ascii="Times New Roman" w:hAnsi="Times New Roman"/>
                <w:sz w:val="21"/>
              </w:rPr>
              <w:t>0.8000</w:t>
            </w:r>
          </w:p>
        </w:tc>
        <w:tc>
          <w:tcPr>
            <w:tcW w:type="dxa" w:w="1560"/>
          </w:tcPr>
          <w:p>
            <w:r>
              <w:rPr>
                <w:rFonts w:ascii="Times New Roman" w:hAnsi="Times New Roman"/>
                <w:sz w:val="21"/>
              </w:rPr>
              <w:t>0.8052</w:t>
            </w:r>
          </w:p>
        </w:tc>
      </w:tr>
    </w:tbl>
    <w:p/>
    <w:p>
      <w:pPr>
        <w:ind w:firstLine="0"/>
        <w:jc w:val="center"/>
      </w:pPr>
      <w:r>
        <w:drawing>
          <wp:inline xmlns:a="http://schemas.openxmlformats.org/drawingml/2006/main" xmlns:pic="http://schemas.openxmlformats.org/drawingml/2006/picture">
            <wp:extent cx="5486400" cy="2190939"/>
            <wp:docPr id="4" name="Picture 4"/>
            <wp:cNvGraphicFramePr>
              <a:graphicFrameLocks noChangeAspect="1"/>
            </wp:cNvGraphicFramePr>
            <a:graphic>
              <a:graphicData uri="http://schemas.openxmlformats.org/drawingml/2006/picture">
                <pic:pic>
                  <pic:nvPicPr>
                    <pic:cNvPr id="0" name="04_matrices_confusion.png"/>
                    <pic:cNvPicPr/>
                  </pic:nvPicPr>
                  <pic:blipFill>
                    <a:blip r:embed="rId13"/>
                    <a:stretch>
                      <a:fillRect/>
                    </a:stretch>
                  </pic:blipFill>
                  <pic:spPr>
                    <a:xfrm>
                      <a:off x="0" y="0"/>
                      <a:ext cx="5486400" cy="2190939"/>
                    </a:xfrm>
                    <a:prstGeom prst="rect"/>
                  </pic:spPr>
                </pic:pic>
              </a:graphicData>
            </a:graphic>
          </wp:inline>
        </w:drawing>
      </w:r>
    </w:p>
    <w:p>
      <w:pPr>
        <w:ind w:firstLine="0"/>
      </w:pPr>
      <w:r>
        <w:rPr>
          <w:rFonts w:ascii="Times New Roman" w:hAnsi="Times New Roman"/>
          <w:b/>
          <w:sz w:val="22"/>
        </w:rPr>
        <w:t>Figura 4</w:t>
        <w:br/>
      </w:r>
      <w:r>
        <w:rPr>
          <w:rFonts w:ascii="Times New Roman" w:hAnsi="Times New Roman"/>
          <w:i/>
          <w:sz w:val="22"/>
        </w:rPr>
        <w:t>Matrices de confusión (n = 61 en el conjunto de prueba).</w:t>
      </w:r>
    </w:p>
    <w:p>
      <w:pPr>
        <w:jc w:val="both"/>
      </w:pPr>
      <w:r>
        <w:rPr>
          <w:rFonts w:ascii="Times New Roman" w:hAnsi="Times New Roman"/>
          <w:sz w:val="24"/>
        </w:rPr>
        <w:t>La Regresión Logística ganó en las cinco métricas. Lo más importante para mí fue el recall del 92.9 % sobre la clase con enfermedad: en un problema clínico es peor pasar por alto a un paciente enfermo (falso negativo) que mandar a un sano a más exámenes (falso positivo). La validación cruzada de 5 pliegues confirma el patrón: la logística llega a 0.8263 ± 0.0504 frente a 0.7151 ± 0.0620 del árbol, y además es más estable (menor desviación estándar).</w:t>
      </w:r>
    </w:p>
    <w:p>
      <w:pPr>
        <w:ind w:firstLine="0"/>
        <w:jc w:val="center"/>
      </w:pPr>
      <w:r>
        <w:drawing>
          <wp:inline xmlns:a="http://schemas.openxmlformats.org/drawingml/2006/main" xmlns:pic="http://schemas.openxmlformats.org/drawingml/2006/picture">
            <wp:extent cx="5486400" cy="4677214"/>
            <wp:docPr id="5" name="Picture 5"/>
            <wp:cNvGraphicFramePr>
              <a:graphicFrameLocks noChangeAspect="1"/>
            </wp:cNvGraphicFramePr>
            <a:graphic>
              <a:graphicData uri="http://schemas.openxmlformats.org/drawingml/2006/picture">
                <pic:pic>
                  <pic:nvPicPr>
                    <pic:cNvPr id="0" name="05_curva_roc.png"/>
                    <pic:cNvPicPr/>
                  </pic:nvPicPr>
                  <pic:blipFill>
                    <a:blip r:embed="rId14"/>
                    <a:stretch>
                      <a:fillRect/>
                    </a:stretch>
                  </pic:blipFill>
                  <pic:spPr>
                    <a:xfrm>
                      <a:off x="0" y="0"/>
                      <a:ext cx="5486400" cy="4677214"/>
                    </a:xfrm>
                    <a:prstGeom prst="rect"/>
                  </pic:spPr>
                </pic:pic>
              </a:graphicData>
            </a:graphic>
          </wp:inline>
        </w:drawing>
      </w:r>
    </w:p>
    <w:p>
      <w:pPr>
        <w:ind w:firstLine="0"/>
      </w:pPr>
      <w:r>
        <w:rPr>
          <w:rFonts w:ascii="Times New Roman" w:hAnsi="Times New Roman"/>
          <w:b/>
          <w:sz w:val="22"/>
        </w:rPr>
        <w:t>Figura 5</w:t>
        <w:br/>
      </w:r>
      <w:r>
        <w:rPr>
          <w:rFonts w:ascii="Times New Roman" w:hAnsi="Times New Roman"/>
          <w:i/>
          <w:sz w:val="22"/>
        </w:rPr>
        <w:t>Curva ROC comparativa de los dos modelos.</w:t>
      </w:r>
    </w:p>
    <w:p>
      <w:pPr>
        <w:jc w:val="both"/>
      </w:pPr>
      <w:r>
        <w:rPr>
          <w:rFonts w:ascii="Times New Roman" w:hAnsi="Times New Roman"/>
          <w:sz w:val="24"/>
        </w:rPr>
        <w:t>La curva ROC de la Figura 5 muestra otra ventaja de la regresión logística: produce predicciones más suaves (la curva es continua), mientras que el árbol da una curva escalonada porque su salida es más discreta. Un AUC de 0.95 es muy buen resultado.</w:t>
      </w:r>
    </w:p>
    <w:p>
      <w:pPr>
        <w:ind w:firstLine="0"/>
        <w:jc w:val="center"/>
      </w:pPr>
      <w:r>
        <w:drawing>
          <wp:inline xmlns:a="http://schemas.openxmlformats.org/drawingml/2006/main" xmlns:pic="http://schemas.openxmlformats.org/drawingml/2006/picture">
            <wp:extent cx="5486400" cy="2739218"/>
            <wp:docPr id="6" name="Picture 6"/>
            <wp:cNvGraphicFramePr>
              <a:graphicFrameLocks noChangeAspect="1"/>
            </wp:cNvGraphicFramePr>
            <a:graphic>
              <a:graphicData uri="http://schemas.openxmlformats.org/drawingml/2006/picture">
                <pic:pic>
                  <pic:nvPicPr>
                    <pic:cNvPr id="0" name="06_arbol_decision.png"/>
                    <pic:cNvPicPr/>
                  </pic:nvPicPr>
                  <pic:blipFill>
                    <a:blip r:embed="rId15"/>
                    <a:stretch>
                      <a:fillRect/>
                    </a:stretch>
                  </pic:blipFill>
                  <pic:spPr>
                    <a:xfrm>
                      <a:off x="0" y="0"/>
                      <a:ext cx="5486400" cy="2739218"/>
                    </a:xfrm>
                    <a:prstGeom prst="rect"/>
                  </pic:spPr>
                </pic:pic>
              </a:graphicData>
            </a:graphic>
          </wp:inline>
        </w:drawing>
      </w:r>
    </w:p>
    <w:p>
      <w:pPr>
        <w:ind w:firstLine="0"/>
      </w:pPr>
      <w:r>
        <w:rPr>
          <w:rFonts w:ascii="Times New Roman" w:hAnsi="Times New Roman"/>
          <w:b/>
          <w:sz w:val="22"/>
        </w:rPr>
        <w:t>Figura 6</w:t>
        <w:br/>
      </w:r>
      <w:r>
        <w:rPr>
          <w:rFonts w:ascii="Times New Roman" w:hAnsi="Times New Roman"/>
          <w:i/>
          <w:sz w:val="22"/>
        </w:rPr>
        <w:t>Árbol de Decisión final con profundidad 5.</w:t>
      </w:r>
    </w:p>
    <w:p>
      <w:pPr>
        <w:ind w:firstLine="0"/>
        <w:jc w:val="center"/>
      </w:pPr>
      <w:r>
        <w:drawing>
          <wp:inline xmlns:a="http://schemas.openxmlformats.org/drawingml/2006/main" xmlns:pic="http://schemas.openxmlformats.org/drawingml/2006/picture">
            <wp:extent cx="5486400" cy="1909052"/>
            <wp:docPr id="7" name="Picture 7"/>
            <wp:cNvGraphicFramePr>
              <a:graphicFrameLocks noChangeAspect="1"/>
            </wp:cNvGraphicFramePr>
            <a:graphic>
              <a:graphicData uri="http://schemas.openxmlformats.org/drawingml/2006/picture">
                <pic:pic>
                  <pic:nvPicPr>
                    <pic:cNvPr id="0" name="07_importancia.png"/>
                    <pic:cNvPicPr/>
                  </pic:nvPicPr>
                  <pic:blipFill>
                    <a:blip r:embed="rId16"/>
                    <a:stretch>
                      <a:fillRect/>
                    </a:stretch>
                  </pic:blipFill>
                  <pic:spPr>
                    <a:xfrm>
                      <a:off x="0" y="0"/>
                      <a:ext cx="5486400" cy="1909052"/>
                    </a:xfrm>
                    <a:prstGeom prst="rect"/>
                  </pic:spPr>
                </pic:pic>
              </a:graphicData>
            </a:graphic>
          </wp:inline>
        </w:drawing>
      </w:r>
    </w:p>
    <w:p>
      <w:pPr>
        <w:ind w:firstLine="0"/>
      </w:pPr>
      <w:r>
        <w:rPr>
          <w:rFonts w:ascii="Times New Roman" w:hAnsi="Times New Roman"/>
          <w:b/>
          <w:sz w:val="22"/>
        </w:rPr>
        <w:t>Figura 7</w:t>
        <w:br/>
      </w:r>
      <w:r>
        <w:rPr>
          <w:rFonts w:ascii="Times New Roman" w:hAnsi="Times New Roman"/>
          <w:i/>
          <w:sz w:val="22"/>
        </w:rPr>
        <w:t>Importancia de variables del árbol (izquierda) y coeficientes de la logística (derecha).</w:t>
      </w:r>
    </w:p>
    <w:p>
      <w:pPr>
        <w:jc w:val="both"/>
      </w:pPr>
      <w:r>
        <w:rPr>
          <w:rFonts w:ascii="Times New Roman" w:hAnsi="Times New Roman"/>
          <w:sz w:val="24"/>
        </w:rPr>
        <w:t>Una observación interesante de la Figura 7: las variables que el árbol y la logística consideran más importantes son básicamente las mismas que el filtro de Pearson había identificado en la sección anterior (thal, ca, exang, oldpeak, cp). Esa coherencia entre filtro y modelos refuerza el resultado.</w:t>
      </w:r>
    </w:p>
    <w:p>
      <w:r>
        <w:br w:type="page"/>
      </w:r>
    </w:p>
    <w:p>
      <w:pPr>
        <w:spacing w:before="120" w:after="120"/>
        <w:ind w:firstLine="0"/>
        <w:jc w:val="center"/>
      </w:pPr>
      <w:r>
        <w:rPr>
          <w:rFonts w:ascii="Times New Roman" w:hAnsi="Times New Roman"/>
          <w:b/>
          <w:sz w:val="28"/>
        </w:rPr>
        <w:t>Conclusiones y reflexión</w:t>
      </w:r>
    </w:p>
    <w:p>
      <w:pPr>
        <w:spacing w:before="120" w:after="120"/>
        <w:ind w:firstLine="0"/>
      </w:pPr>
      <w:r>
        <w:rPr>
          <w:rFonts w:ascii="Times New Roman" w:hAnsi="Times New Roman"/>
          <w:b/>
          <w:sz w:val="26"/>
        </w:rPr>
        <w:t>Síntesis de resultados</w:t>
      </w:r>
    </w:p>
    <w:p>
      <w:pPr>
        <w:jc w:val="both"/>
      </w:pPr>
      <w:r>
        <w:rPr>
          <w:rFonts w:ascii="Times New Roman" w:hAnsi="Times New Roman"/>
          <w:sz w:val="24"/>
        </w:rPr>
        <w:t>El PCA permitió reducir el dataset de 13 a 8 variables manteniendo el 80 % de la varianza. El primer componente se puede interpretar como un índice de severidad cardíaca, lo que muestra que el PCA no es solo una técnica matemática: también ayuda a entender el problema.</w:t>
      </w:r>
    </w:p>
    <w:p>
      <w:pPr>
        <w:jc w:val="both"/>
      </w:pPr>
      <w:r>
        <w:rPr>
          <w:rFonts w:ascii="Times New Roman" w:hAnsi="Times New Roman"/>
          <w:sz w:val="24"/>
        </w:rPr>
        <w:t>El filtro por correlación identificó cinco variables muy predictivas (thal, ca, exang, oldpeak, thalach), y lo bueno es que los dos modelos supervisados coincidieron en darles peso. Esa coherencia es importante.</w:t>
      </w:r>
    </w:p>
    <w:p>
      <w:pPr>
        <w:jc w:val="both"/>
      </w:pPr>
      <w:r>
        <w:rPr>
          <w:rFonts w:ascii="Times New Roman" w:hAnsi="Times New Roman"/>
          <w:sz w:val="24"/>
        </w:rPr>
        <w:t>Entre los dos modelos, la Regresión Logística superó al Árbol de Decisión en todas las métricas. Más allá del número, la logística tiene dos ventajas adicionales para un caso clínico: produce probabilidades que se pueden ajustar al costo de cada tipo de error, y sus coeficientes se pueden leer directamente como odds-ratios.</w:t>
      </w:r>
    </w:p>
    <w:p>
      <w:pPr>
        <w:spacing w:before="120" w:after="120"/>
        <w:ind w:firstLine="0"/>
      </w:pPr>
      <w:r>
        <w:rPr>
          <w:rFonts w:ascii="Times New Roman" w:hAnsi="Times New Roman"/>
          <w:b/>
          <w:sz w:val="26"/>
        </w:rPr>
        <w:t>Impacto del preprocesamiento</w:t>
      </w:r>
    </w:p>
    <w:p>
      <w:pPr>
        <w:jc w:val="both"/>
      </w:pPr>
      <w:r>
        <w:rPr>
          <w:rFonts w:ascii="Times New Roman" w:hAnsi="Times New Roman"/>
          <w:sz w:val="24"/>
        </w:rPr>
        <w:t>Esta es la pregunta que el profesor pide reflexionar: ¿el preprocesamiento del Entregable 1 sirvió de algo?</w:t>
      </w:r>
    </w:p>
    <w:p>
      <w:pPr>
        <w:jc w:val="both"/>
      </w:pPr>
      <w:r>
        <w:rPr>
          <w:rFonts w:ascii="Times New Roman" w:hAnsi="Times New Roman"/>
          <w:sz w:val="24"/>
        </w:rPr>
        <w:t>Mi respuesta es que sí, y por dos motivos concretos. Primero, el capping de outliers evitó que valores extremos como un colesterol de 564 mg/dl distorsionaran los coeficientes de la regresión logística, que es un modelo sensible a la escala. Segundo, la imputación por regresión bayesiana respetó la relación de la variable ca con las demás; si hubiera usado imputación simple por mediana, habría puesto cuatro ceros más en una variable que ya estaba sesgada hacia cero, y como ca terminó siendo la segunda variable más correlacionada con el target, eso habría afectado el modelo.</w:t>
      </w:r>
    </w:p>
    <w:p>
      <w:pPr>
        <w:jc w:val="both"/>
      </w:pPr>
      <w:r>
        <w:rPr>
          <w:rFonts w:ascii="Times New Roman" w:hAnsi="Times New Roman"/>
          <w:sz w:val="24"/>
        </w:rPr>
        <w:t>También fue importante el escalado de variables antes de la regresión logística. Sin estandarizar, las features con valores más grandes (como colesterol o presión arterial) dominarían el modelo aunque no fueran las más informativas.</w:t>
      </w:r>
    </w:p>
    <w:p>
      <w:pPr>
        <w:spacing w:before="120" w:after="120"/>
        <w:ind w:firstLine="0"/>
      </w:pPr>
      <w:r>
        <w:rPr>
          <w:rFonts w:ascii="Times New Roman" w:hAnsi="Times New Roman"/>
          <w:b/>
          <w:sz w:val="26"/>
        </w:rPr>
        <w:t>Limitaciones</w:t>
      </w:r>
    </w:p>
    <w:p>
      <w:pPr>
        <w:jc w:val="both"/>
      </w:pPr>
      <w:r>
        <w:rPr>
          <w:rFonts w:ascii="Times New Roman" w:hAnsi="Times New Roman"/>
          <w:sz w:val="24"/>
        </w:rPr>
        <w:t>El dataset tiene solo 303 registros de una sola clínica, así que los resultados no se pueden generalizar a otras poblaciones sin validarlos. El proyecto UCI publica conjuntos paralelos (Hungarian, Switzerland, Long Beach) que servirían para una validación externa. También sería interesante probar modelos más potentes como Random Forest o Gradient Boosting, y aplicar valores SHAP para explicar predicciones individuales.</w:t>
      </w:r>
    </w:p>
    <w:p>
      <w:r>
        <w:br w:type="page"/>
      </w:r>
    </w:p>
    <w:p>
      <w:pPr>
        <w:jc w:val="left"/>
      </w:pPr>
      <w:r>
        <w:rPr>
          <w:rFonts w:ascii="Times New Roman" w:hAnsi="Times New Roman" w:eastAsia="Times New Roman"/>
          <w:b/>
          <w:i w:val="0"/>
          <w:sz w:val="26"/>
        </w:rPr>
        <w:t>Recursos del Proyecto</w:t>
      </w:r>
    </w:p>
    <w:p>
      <w:pPr>
        <w:jc w:val="both"/>
      </w:pPr>
      <w:r>
        <w:rPr>
          <w:rFonts w:ascii="Times New Roman" w:hAnsi="Times New Roman" w:eastAsia="Times New Roman"/>
          <w:b w:val="0"/>
          <w:i w:val="0"/>
          <w:sz w:val="24"/>
        </w:rPr>
        <w:t>El código fuente completo (notebooks de ambos entregables y el dashboard), la documentación y las instrucciones de reproducción se encuentran en el repositorio público de GitHub. Adicionalmente, como valor agregado, se desarrolló un dashboard interactivo desplegado en Streamlit Community Cloud que permite explorar el análisis y realizar predicciones en línea sin instalar nada.</w:t>
      </w:r>
    </w:p>
    <w:p>
      <w:pPr>
        <w:jc w:val="left"/>
      </w:pPr>
      <w:r>
        <w:rPr>
          <w:rFonts w:ascii="Times New Roman" w:hAnsi="Times New Roman" w:eastAsia="Times New Roman"/>
          <w:b/>
          <w:i w:val="0"/>
          <w:sz w:val="24"/>
        </w:rPr>
        <w:t xml:space="preserve">Repositorio (GitHub): </w:t>
      </w:r>
      <w:hyperlink r:id="rId17">
        <w:r>
          <w:rPr>
            <w:rFonts w:ascii="Times New Roman" w:hAnsi="Times New Roman"/>
            <w:sz w:val="24"/>
            <w:color w:val="0563C1"/>
            <w:u w:val="single"/>
          </w:rPr>
          <w:t xml:space="preserve">https://github.com/JAAM010/seminario-datos-heart-disease</w:t>
        </w:r>
      </w:hyperlink>
    </w:p>
    <w:p>
      <w:pPr>
        <w:jc w:val="left"/>
      </w:pPr>
      <w:r>
        <w:rPr>
          <w:rFonts w:ascii="Times New Roman" w:hAnsi="Times New Roman" w:eastAsia="Times New Roman"/>
          <w:b/>
          <w:i w:val="0"/>
          <w:sz w:val="24"/>
        </w:rPr>
        <w:t xml:space="preserve">Dashboard interactivo (Streamlit): </w:t>
      </w:r>
      <w:hyperlink r:id="rId18">
        <w:r>
          <w:rPr>
            <w:rFonts w:ascii="Times New Roman" w:hAnsi="Times New Roman"/>
            <w:sz w:val="24"/>
            <w:color w:val="0563C1"/>
            <w:u w:val="single"/>
          </w:rPr>
          <w:t xml:space="preserve">https://heart-disease-jaam010.streamlit.app</w:t>
        </w:r>
      </w:hyperlink>
    </w:p>
    <w:p>
      <w:pPr>
        <w:spacing w:before="120" w:after="120"/>
        <w:ind w:firstLine="0"/>
        <w:jc w:val="center"/>
      </w:pPr>
      <w:r>
        <w:rPr>
          <w:rFonts w:ascii="Times New Roman" w:hAnsi="Times New Roman"/>
          <w:b/>
          <w:sz w:val="28"/>
        </w:rPr>
        <w:t>Referencias</w:t>
      </w:r>
    </w:p>
    <w:p>
      <w:pPr>
        <w:ind w:left="720" w:hanging="720"/>
        <w:jc w:val="both"/>
      </w:pPr>
      <w:r>
        <w:rPr>
          <w:rFonts w:ascii="Times New Roman" w:hAnsi="Times New Roman"/>
          <w:sz w:val="24"/>
        </w:rPr>
        <w:t>Chapman, P., Clinton, J., Kerber, R., Khabaza, T., Reinartz, T., Shearer, C., y Wirth, R. (2000). CRISP-DM 1.0: Step-by-step data mining guide. SPSS Inc.</w:t>
      </w:r>
    </w:p>
    <w:p>
      <w:pPr>
        <w:ind w:left="720" w:hanging="720"/>
        <w:jc w:val="both"/>
      </w:pPr>
      <w:r>
        <w:rPr>
          <w:rFonts w:ascii="Times New Roman" w:hAnsi="Times New Roman"/>
          <w:sz w:val="24"/>
        </w:rPr>
        <w:t>Detrano, R., Janosi, A., Steinbrunn, W., Pfisterer, M., Schmid, J. J., Sandhu, S., Guppy, K. H., Lee, S., y Froelicher, V. (1989). International application of a new probability algorithm for the diagnosis of coronary artery disease. The American Journal of Cardiology, 64(5), 304-310.</w:t>
      </w:r>
    </w:p>
    <w:p>
      <w:pPr>
        <w:ind w:left="720" w:hanging="720"/>
        <w:jc w:val="both"/>
      </w:pPr>
      <w:r>
        <w:rPr>
          <w:rFonts w:ascii="Times New Roman" w:hAnsi="Times New Roman"/>
          <w:sz w:val="24"/>
        </w:rPr>
        <w:t>Dua, D., y Graff, C. (2019). UCI Machine Learning Repository. University of California, Irvine. https://archive.ics.uci.edu/ml/datasets/Heart+Disease</w:t>
      </w:r>
    </w:p>
    <w:p>
      <w:pPr>
        <w:ind w:left="720" w:hanging="720"/>
        <w:jc w:val="both"/>
      </w:pPr>
      <w:r>
        <w:rPr>
          <w:rFonts w:ascii="Times New Roman" w:hAnsi="Times New Roman"/>
          <w:sz w:val="24"/>
        </w:rPr>
        <w:t>Guyon, I., y Elisseeff, A. (2003). An introduction to variable and feature selection. Journal of Machine Learning Research, 3, 1157-1182.</w:t>
      </w:r>
    </w:p>
    <w:p>
      <w:pPr>
        <w:ind w:left="720" w:hanging="720"/>
        <w:jc w:val="both"/>
      </w:pPr>
      <w:r>
        <w:rPr>
          <w:rFonts w:ascii="Times New Roman" w:hAnsi="Times New Roman"/>
          <w:sz w:val="24"/>
        </w:rPr>
        <w:t>Hastie, T., Tibshirani, R., y Friedman, J. (2009). The elements of statistical learning (2.ª ed.). Springer.</w:t>
      </w:r>
    </w:p>
    <w:p>
      <w:pPr>
        <w:ind w:left="720" w:hanging="720"/>
        <w:jc w:val="both"/>
      </w:pPr>
      <w:r>
        <w:rPr>
          <w:rFonts w:ascii="Times New Roman" w:hAnsi="Times New Roman"/>
          <w:sz w:val="24"/>
        </w:rPr>
        <w:t>Jolliffe, I. T. (2002). Principal component analysis (2.ª ed.). Springer.</w:t>
      </w:r>
    </w:p>
    <w:p>
      <w:pPr>
        <w:ind w:left="720" w:hanging="720"/>
        <w:jc w:val="both"/>
      </w:pPr>
      <w:r>
        <w:rPr>
          <w:rFonts w:ascii="Times New Roman" w:hAnsi="Times New Roman"/>
          <w:sz w:val="24"/>
        </w:rPr>
        <w:t>Pedregosa, F., Varoquaux, G., Gramfort, A., Michel, V., Thirion, B., Grisel, O., et al. (2011). Scikit-learn: Machine learning in Python. Journal of Machine Learning Research, 12, 2825-2830.</w:t>
      </w:r>
    </w:p>
    <w:p>
      <w:pPr>
        <w:ind w:left="720" w:hanging="720"/>
        <w:jc w:val="both"/>
      </w:pPr>
      <w:r>
        <w:rPr>
          <w:rFonts w:ascii="Times New Roman" w:hAnsi="Times New Roman"/>
          <w:sz w:val="24"/>
        </w:rPr>
        <w:t>Quinlan, J. R. (1986). Induction of decision trees. Machine Learning, 1(1), 81-106.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github.com/JAAM010/seminario-datos-heart-disease" TargetMode="External"/><Relationship Id="rId18" Type="http://schemas.openxmlformats.org/officeDocument/2006/relationships/hyperlink" Target="https://heart-disease-jaam010.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