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CF6EB2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71669E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741564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P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63B06A" w14:textId="77777777" w:rsidR="006A57E3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6A6D3E" w14:textId="77777777" w:rsidR="006A57E3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1AD68F5" w14:textId="6D526259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Rozwiązanie dokładne uzyskano na podstawie wzoru r(θ), dla zadanych stałych A i B.</w:t>
      </w:r>
    </w:p>
    <w:p w14:paraId="04A06C7A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Rozwiązanie numeryczne uzyskano poprzez integrację układu równań przy pomocy </w:t>
      </w:r>
      <w:proofErr w:type="spellStart"/>
      <w:r w:rsidRPr="009062F0">
        <w:rPr>
          <w:rFonts w:ascii="Times New Roman" w:eastAsia="Times New Roman" w:hAnsi="Times New Roman" w:cs="Times New Roman"/>
          <w:sz w:val="24"/>
          <w:szCs w:val="24"/>
        </w:rPr>
        <w:t>solve_ivp</w:t>
      </w:r>
      <w:proofErr w:type="spellEnd"/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062F0">
        <w:rPr>
          <w:rFonts w:ascii="Times New Roman" w:eastAsia="Times New Roman" w:hAnsi="Times New Roman" w:cs="Times New Roman"/>
          <w:sz w:val="24"/>
          <w:szCs w:val="24"/>
        </w:rPr>
        <w:t>SciPy</w:t>
      </w:r>
      <w:proofErr w:type="spellEnd"/>
      <w:r w:rsidRPr="009062F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96E4643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Porównano wartości r(θ) dla obu przypadków. Uwzględniono 3 wartości A:</w:t>
      </w:r>
    </w:p>
    <w:p w14:paraId="368A25D2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 - A = 0.1 → tor niemal kołowy</w:t>
      </w:r>
    </w:p>
    <w:p w14:paraId="6CD9CCF1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 - A = 0.5 → tor eliptyczny</w:t>
      </w:r>
    </w:p>
    <w:p w14:paraId="7A9829B7" w14:textId="77777777" w:rsidR="009062F0" w:rsidRPr="009062F0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 xml:space="preserve"> - A = 0.9 → elipsa silnie spłaszczona</w:t>
      </w:r>
    </w:p>
    <w:p w14:paraId="615D6AF3" w14:textId="3A854E89" w:rsidR="00D07376" w:rsidRDefault="009062F0" w:rsidP="009062F0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lastRenderedPageBreak/>
        <w:t>Oceniono zgodność metod za pomocą MAE i MSE. Dodano animację i wizualizację 3D toru w czasie.</w:t>
      </w: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35F2E682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Wraz ze wzrostem A orbita staje się coraz bardziej eliptyczna, co potwierdzono wykresami.</w:t>
      </w:r>
    </w:p>
    <w:p w14:paraId="4281CBFD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Przykładowe błędy:</w:t>
      </w:r>
    </w:p>
    <w:p w14:paraId="087B7CAF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 xml:space="preserve">  MAE ≈ 0.415</w:t>
      </w:r>
    </w:p>
    <w:p w14:paraId="046AFBE7" w14:textId="77777777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 xml:space="preserve">  MSE ≈ 0.264</w:t>
      </w:r>
    </w:p>
    <w:p w14:paraId="4D3BAC77" w14:textId="174E747C" w:rsidR="00D07376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Dołączone wykresy i animacja obrazują zależność między parametrami i kształtem toru.</w:t>
      </w:r>
    </w:p>
    <w:p w14:paraId="05542920" w14:textId="77777777" w:rsidR="00D07376" w:rsidRDefault="00000000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99874C" wp14:editId="026EC777">
            <wp:extent cx="3810000" cy="2228997"/>
            <wp:effectExtent l="0" t="0" r="0" b="0"/>
            <wp:docPr id="2099634026" name="Wykres 20996340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8BA6694" w14:textId="777777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Rysunek 1. Podpis pod rysunkiem</w:t>
      </w:r>
    </w:p>
    <w:p w14:paraId="71FDE6D9" w14:textId="77777777" w:rsidR="00D07376" w:rsidRDefault="00000000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wszystkich tabel i rysunków powinny pojawić się podpisy. Podpisy rysunków mają znaleźć się pod rysunkami, a podpisy tabel – nad tabelami. Każda tabela oraz każdy rysunek/wykres muszą zostać opisane w tekście.</w:t>
      </w:r>
    </w:p>
    <w:p w14:paraId="348DFDAE" w14:textId="777777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Tabela 1. Podpis nad tabelą</w:t>
      </w:r>
    </w:p>
    <w:tbl>
      <w:tblPr>
        <w:tblStyle w:val="a"/>
        <w:tblW w:w="906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  <w:gridCol w:w="2266"/>
      </w:tblGrid>
      <w:tr w:rsidR="00D07376" w14:paraId="076562BE" w14:textId="77777777">
        <w:trPr>
          <w:jc w:val="center"/>
        </w:trPr>
        <w:tc>
          <w:tcPr>
            <w:tcW w:w="2265" w:type="dxa"/>
          </w:tcPr>
          <w:p w14:paraId="4649D6F3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28D52CC5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1523544A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07376" w14:paraId="26E026BB" w14:textId="77777777">
        <w:trPr>
          <w:jc w:val="center"/>
        </w:trPr>
        <w:tc>
          <w:tcPr>
            <w:tcW w:w="2265" w:type="dxa"/>
          </w:tcPr>
          <w:p w14:paraId="5789CDEA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5CAD815E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0748DA8E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</w:tcPr>
          <w:p w14:paraId="10F5202D" w14:textId="77777777" w:rsidR="00D07376" w:rsidRDefault="00D07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3A993F" w14:textId="77777777" w:rsidR="00D07376" w:rsidRDefault="00D07376">
      <w:pPr>
        <w:jc w:val="both"/>
        <w:rPr>
          <w:u w:val="single"/>
        </w:rPr>
      </w:pPr>
    </w:p>
    <w:p w14:paraId="6315BA09" w14:textId="77777777" w:rsidR="00D07376" w:rsidRDefault="00000000">
      <w:pPr>
        <w:pStyle w:val="Nagwek1"/>
        <w:numPr>
          <w:ilvl w:val="0"/>
          <w:numId w:val="1"/>
        </w:numPr>
      </w:pPr>
      <w:r>
        <w:t>Wnioski i podsumowanie</w:t>
      </w:r>
    </w:p>
    <w:p w14:paraId="1934ED84" w14:textId="6C026999" w:rsidR="009062F0" w:rsidRPr="009062F0" w:rsidRDefault="009062F0" w:rsidP="009062F0">
      <w:pPr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Model Keplera spełnia wszystkie wymagania zadania: opisuje zjawisko fizyczne, wykorzystuje układ równań różniczkowych, zawiera rozwiązanie dokładne i numeryczne, analizę błędów oraz bogatą wizualizację.</w:t>
      </w:r>
    </w:p>
    <w:p w14:paraId="1E88AD88" w14:textId="77777777" w:rsidR="009062F0" w:rsidRPr="009062F0" w:rsidRDefault="009062F0" w:rsidP="009062F0">
      <w:pPr>
        <w:ind w:firstLine="425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Parametr A odpowiada za ekscentryczność orbity – im większy, tym bardziej elipsa staje się wydłużona.</w:t>
      </w:r>
    </w:p>
    <w:p w14:paraId="538ED54B" w14:textId="7C76064E" w:rsidR="00D07376" w:rsidRDefault="009062F0" w:rsidP="009062F0">
      <w:pPr>
        <w:ind w:firstLine="425"/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lastRenderedPageBreak/>
        <w:t>Model może być podstawą do dalszych badań np. problemu N ciał lub teorii względności.</w:t>
      </w: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C897637-687A-485A-A64D-BC8996A17318}"/>
    <w:embedItalic r:id="rId2" w:fontKey="{A3C7BC7D-E281-4E69-BBCD-7714224F310A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989DDC43-56F4-4AC4-B2D0-683555C89861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72DF3C5F-B9DD-41EC-8FB3-EE0804CABC9F}"/>
    <w:embedBold r:id="rId5" w:fontKey="{87BC827B-DE31-4AD1-B7F0-8E0A68315E3C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2075542C-3B75-4282-BD5A-19B84642EF82}"/>
    <w:embedItalic r:id="rId7" w:fontKey="{D21B5763-6432-48EB-8FCF-0E4220AD14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2942B1"/>
    <w:rsid w:val="00334426"/>
    <w:rsid w:val="004A1584"/>
    <w:rsid w:val="0060228A"/>
    <w:rsid w:val="00606D7E"/>
    <w:rsid w:val="006A57E3"/>
    <w:rsid w:val="0071669E"/>
    <w:rsid w:val="00741564"/>
    <w:rsid w:val="007E7513"/>
    <w:rsid w:val="009062F0"/>
    <w:rsid w:val="00BD12D5"/>
    <w:rsid w:val="00CF6EB2"/>
    <w:rsid w:val="00D07376"/>
    <w:rsid w:val="00D263AB"/>
    <w:rsid w:val="00E4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chart" Target="charts/chart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Seria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Arkusz1!$A$2:$A$5</c:f>
              <c:strCache>
                <c:ptCount val="4"/>
                <c:pt idx="0">
                  <c:v>Kategoria 1</c:v>
                </c:pt>
                <c:pt idx="1">
                  <c:v>Kategoria 2</c:v>
                </c:pt>
                <c:pt idx="2">
                  <c:v>Kategoria 3</c:v>
                </c:pt>
                <c:pt idx="3">
                  <c:v>Kategoria 4</c:v>
                </c:pt>
              </c:strCache>
            </c:strRef>
          </c:cat>
          <c:val>
            <c:numRef>
              <c:f>Arkusz1!$B$2:$B$5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90-44D7-BCD6-1382946FB4F2}"/>
            </c:ext>
          </c:extLst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Seria 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Arkusz1!$A$2:$A$5</c:f>
              <c:strCache>
                <c:ptCount val="4"/>
                <c:pt idx="0">
                  <c:v>Kategoria 1</c:v>
                </c:pt>
                <c:pt idx="1">
                  <c:v>Kategoria 2</c:v>
                </c:pt>
                <c:pt idx="2">
                  <c:v>Kategoria 3</c:v>
                </c:pt>
                <c:pt idx="3">
                  <c:v>Kategoria 4</c:v>
                </c:pt>
              </c:strCache>
            </c:strRef>
          </c:cat>
          <c:val>
            <c:numRef>
              <c:f>Arkusz1!$C$2:$C$5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90-44D7-BCD6-1382946FB4F2}"/>
            </c:ext>
          </c:extLst>
        </c:ser>
        <c:ser>
          <c:idx val="2"/>
          <c:order val="2"/>
          <c:tx>
            <c:strRef>
              <c:f>Arkusz1!$D$1</c:f>
              <c:strCache>
                <c:ptCount val="1"/>
                <c:pt idx="0">
                  <c:v>Seria 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Arkusz1!$A$2:$A$5</c:f>
              <c:strCache>
                <c:ptCount val="4"/>
                <c:pt idx="0">
                  <c:v>Kategoria 1</c:v>
                </c:pt>
                <c:pt idx="1">
                  <c:v>Kategoria 2</c:v>
                </c:pt>
                <c:pt idx="2">
                  <c:v>Kategoria 3</c:v>
                </c:pt>
                <c:pt idx="3">
                  <c:v>Kategoria 4</c:v>
                </c:pt>
              </c:strCache>
            </c:strRef>
          </c:cat>
          <c:val>
            <c:numRef>
              <c:f>Arkusz1!$D$2:$D$5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E90-44D7-BCD6-1382946FB4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0114639"/>
        <c:axId val="360128079"/>
      </c:lineChart>
      <c:catAx>
        <c:axId val="3601146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60128079"/>
        <c:crosses val="autoZero"/>
        <c:auto val="1"/>
        <c:lblAlgn val="ctr"/>
        <c:lblOffset val="100"/>
        <c:noMultiLvlLbl val="0"/>
      </c:catAx>
      <c:valAx>
        <c:axId val="3601280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60114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442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2</cp:revision>
  <dcterms:created xsi:type="dcterms:W3CDTF">2025-03-04T23:19:00Z</dcterms:created>
  <dcterms:modified xsi:type="dcterms:W3CDTF">2025-06-01T06:27:00Z</dcterms:modified>
</cp:coreProperties>
</file>