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E9316" w14:textId="77777777" w:rsidR="004E044C" w:rsidRPr="00C161E8" w:rsidRDefault="0017101B" w:rsidP="00C161E8">
      <w:pPr>
        <w:jc w:val="center"/>
        <w:rPr>
          <w:b/>
          <w:sz w:val="28"/>
          <w:szCs w:val="28"/>
        </w:rPr>
      </w:pPr>
      <w:r w:rsidRPr="00C161E8">
        <w:rPr>
          <w:b/>
          <w:sz w:val="28"/>
          <w:szCs w:val="28"/>
        </w:rPr>
        <w:t>LTE Interference Theoretical Study</w:t>
      </w:r>
    </w:p>
    <w:p w14:paraId="728D5396" w14:textId="77777777" w:rsidR="0017101B" w:rsidRDefault="0017101B"/>
    <w:p w14:paraId="32CC92DA" w14:textId="77777777" w:rsidR="0017101B" w:rsidRDefault="0017101B">
      <w:r>
        <w:t>Assumptions:</w:t>
      </w:r>
    </w:p>
    <w:p w14:paraId="6D2A7901" w14:textId="77777777" w:rsidR="0017101B" w:rsidRDefault="0017101B"/>
    <w:p w14:paraId="117103F7" w14:textId="7536CDCB" w:rsidR="0017101B" w:rsidRDefault="0017101B" w:rsidP="00DE5CCA">
      <w:pPr>
        <w:tabs>
          <w:tab w:val="decimal" w:leader="dot" w:pos="8010"/>
        </w:tabs>
      </w:pPr>
      <w:r>
        <w:t xml:space="preserve">LTE Transmitter </w:t>
      </w:r>
      <w:r w:rsidR="00F41CF9">
        <w:t xml:space="preserve">Downlink </w:t>
      </w:r>
      <w:r>
        <w:t>Power</w:t>
      </w:r>
      <w:r w:rsidR="004D52B2">
        <w:rPr>
          <w:rStyle w:val="FootnoteReference"/>
        </w:rPr>
        <w:footnoteReference w:id="1"/>
      </w:r>
      <w:r w:rsidR="00430146">
        <w:t>:</w:t>
      </w:r>
      <w:r>
        <w:tab/>
        <w:t>+46 dBm</w:t>
      </w:r>
    </w:p>
    <w:p w14:paraId="37B1E416" w14:textId="4D285A7A" w:rsidR="0017101B" w:rsidRPr="0017101B" w:rsidRDefault="0017101B" w:rsidP="00DE5CCA">
      <w:pPr>
        <w:tabs>
          <w:tab w:val="decimal" w:leader="dot" w:pos="8010"/>
        </w:tabs>
        <w:rPr>
          <w:u w:val="single"/>
        </w:rPr>
      </w:pPr>
      <w:r>
        <w:t xml:space="preserve">LTE </w:t>
      </w:r>
      <w:r w:rsidR="00F41CF9">
        <w:t xml:space="preserve">Downlink </w:t>
      </w:r>
      <w:r>
        <w:t>Antenna Gain:</w:t>
      </w:r>
      <w:r>
        <w:tab/>
      </w:r>
      <w:r w:rsidR="000A283B">
        <w:t xml:space="preserve"> </w:t>
      </w:r>
      <w:r w:rsidRPr="0017101B">
        <w:rPr>
          <w:u w:val="single"/>
        </w:rPr>
        <w:t>16 dB</w:t>
      </w:r>
    </w:p>
    <w:p w14:paraId="3E87F32A" w14:textId="12226925" w:rsidR="0017101B" w:rsidRDefault="0017101B" w:rsidP="00DE5CCA">
      <w:pPr>
        <w:tabs>
          <w:tab w:val="decimal" w:leader="dot" w:pos="8010"/>
        </w:tabs>
      </w:pPr>
      <w:r>
        <w:t xml:space="preserve">LTE </w:t>
      </w:r>
      <w:r w:rsidR="00F41CF9">
        <w:t xml:space="preserve">Downlink </w:t>
      </w:r>
      <w:r>
        <w:t>EIRP:</w:t>
      </w:r>
      <w:r>
        <w:tab/>
      </w:r>
      <w:r w:rsidR="000A283B">
        <w:t>+</w:t>
      </w:r>
      <w:r>
        <w:t>62 dBm (111 dBmV)</w:t>
      </w:r>
    </w:p>
    <w:p w14:paraId="00885D91" w14:textId="77777777" w:rsidR="0017101B" w:rsidRDefault="0017101B" w:rsidP="00DE5CCA">
      <w:pPr>
        <w:tabs>
          <w:tab w:val="decimal" w:leader="dot" w:pos="8010"/>
        </w:tabs>
      </w:pPr>
    </w:p>
    <w:p w14:paraId="0A7A25D9" w14:textId="77777777" w:rsidR="0017101B" w:rsidRDefault="0017101B" w:rsidP="00DE5CCA">
      <w:pPr>
        <w:tabs>
          <w:tab w:val="decimal" w:leader="dot" w:pos="8010"/>
        </w:tabs>
      </w:pPr>
      <w:r>
        <w:t xml:space="preserve">LTE Handset </w:t>
      </w:r>
      <w:r w:rsidR="00F41CF9">
        <w:t xml:space="preserve">Uplink </w:t>
      </w:r>
      <w:r>
        <w:t>Output Power (max)</w:t>
      </w:r>
      <w:r>
        <w:tab/>
        <w:t>+23 dBm (72 dBmV)</w:t>
      </w:r>
    </w:p>
    <w:p w14:paraId="0B0AA2B8" w14:textId="77777777" w:rsidR="0017101B" w:rsidRDefault="00F41CF9" w:rsidP="00DE5CCA">
      <w:pPr>
        <w:tabs>
          <w:tab w:val="decimal" w:leader="dot" w:pos="8010"/>
        </w:tabs>
      </w:pPr>
      <w:r>
        <w:t>LTE Handset Uplink O</w:t>
      </w:r>
      <w:r w:rsidR="0017101B">
        <w:t>utput Power (typical)</w:t>
      </w:r>
      <w:r w:rsidR="0017101B">
        <w:tab/>
        <w:t>+15 dBm (64 dBmV)</w:t>
      </w:r>
    </w:p>
    <w:p w14:paraId="32112441" w14:textId="77777777" w:rsidR="0017101B" w:rsidRDefault="0017101B" w:rsidP="00DE5CCA">
      <w:pPr>
        <w:tabs>
          <w:tab w:val="decimal" w:leader="dot" w:pos="8010"/>
        </w:tabs>
      </w:pPr>
    </w:p>
    <w:p w14:paraId="56A8A4AC" w14:textId="102D1B42" w:rsidR="0017101B" w:rsidRDefault="00DE5CCA" w:rsidP="00DE5CCA">
      <w:pPr>
        <w:tabs>
          <w:tab w:val="decimal" w:leader="dot" w:pos="8010"/>
        </w:tabs>
      </w:pPr>
      <w:r>
        <w:t xml:space="preserve">LTE </w:t>
      </w:r>
      <w:r w:rsidR="0092223C">
        <w:t>750 MHz</w:t>
      </w:r>
      <w:r w:rsidR="0017101B">
        <w:t xml:space="preserve"> Loss @ 1 km </w:t>
      </w:r>
      <w:r w:rsidR="0092223C">
        <w:t xml:space="preserve">(~0.6 mi) based upon the </w:t>
      </w:r>
      <w:proofErr w:type="spellStart"/>
      <w:r w:rsidR="0092223C">
        <w:t>Hata</w:t>
      </w:r>
      <w:proofErr w:type="spellEnd"/>
      <w:r w:rsidR="0092223C">
        <w:t xml:space="preserve"> model</w:t>
      </w:r>
      <w:r w:rsidR="00430146" w:rsidRPr="00430146">
        <w:rPr>
          <w:vertAlign w:val="superscript"/>
        </w:rPr>
        <w:t>1</w:t>
      </w:r>
      <w:r w:rsidR="0017101B">
        <w:t>:</w:t>
      </w:r>
      <w:r w:rsidR="0017101B">
        <w:tab/>
      </w:r>
      <w:r w:rsidR="000A283B">
        <w:t xml:space="preserve"> </w:t>
      </w:r>
      <w:r w:rsidR="0092223C">
        <w:t>99</w:t>
      </w:r>
      <w:r w:rsidR="0017101B">
        <w:t xml:space="preserve"> dB</w:t>
      </w:r>
      <w:r w:rsidR="00F41CF9">
        <w:t xml:space="preserve"> (downlink)</w:t>
      </w:r>
    </w:p>
    <w:p w14:paraId="1EC22E85" w14:textId="59C21C5F" w:rsidR="0017101B" w:rsidRDefault="00DE5CCA" w:rsidP="00DE5CCA">
      <w:pPr>
        <w:tabs>
          <w:tab w:val="decimal" w:leader="dot" w:pos="8010"/>
        </w:tabs>
      </w:pPr>
      <w:r>
        <w:t xml:space="preserve">LTE </w:t>
      </w:r>
      <w:r w:rsidR="0092223C">
        <w:t>750 MHz</w:t>
      </w:r>
      <w:r>
        <w:t xml:space="preserve"> </w:t>
      </w:r>
      <w:r w:rsidR="00430146">
        <w:t>Line-of-S</w:t>
      </w:r>
      <w:r w:rsidR="0092223C">
        <w:t xml:space="preserve">ite Free-Space </w:t>
      </w:r>
      <w:r>
        <w:t xml:space="preserve">Loss </w:t>
      </w:r>
      <w:r w:rsidR="0017101B">
        <w:t xml:space="preserve">@ 2.5m: (~8 </w:t>
      </w:r>
      <w:proofErr w:type="spellStart"/>
      <w:r w:rsidR="0017101B">
        <w:t>ft</w:t>
      </w:r>
      <w:proofErr w:type="spellEnd"/>
      <w:r w:rsidR="0017101B">
        <w:t>)</w:t>
      </w:r>
      <w:r w:rsidR="0092223C">
        <w:t>:</w:t>
      </w:r>
      <w:r w:rsidR="0017101B">
        <w:tab/>
      </w:r>
      <w:r w:rsidR="000A283B">
        <w:t xml:space="preserve"> </w:t>
      </w:r>
      <w:r w:rsidR="0017101B">
        <w:t>38 dB</w:t>
      </w:r>
      <w:r w:rsidR="00F41CF9">
        <w:t xml:space="preserve"> (uplink)</w:t>
      </w:r>
    </w:p>
    <w:p w14:paraId="1A7F5FD0" w14:textId="77777777" w:rsidR="00F41CF9" w:rsidRDefault="00F41CF9" w:rsidP="00DE5CCA">
      <w:pPr>
        <w:tabs>
          <w:tab w:val="decimal" w:leader="dot" w:pos="8010"/>
        </w:tabs>
      </w:pPr>
    </w:p>
    <w:p w14:paraId="238B6A95" w14:textId="79DB32A9" w:rsidR="00F41CF9" w:rsidRDefault="00F41CF9" w:rsidP="00DE5CCA">
      <w:pPr>
        <w:tabs>
          <w:tab w:val="decimal" w:leader="dot" w:pos="8010"/>
        </w:tabs>
      </w:pPr>
      <w:r>
        <w:t>750 MHz Down</w:t>
      </w:r>
      <w:r w:rsidR="002449EE">
        <w:t>link Interferer Level @ 1 km:</w:t>
      </w:r>
      <w:r w:rsidR="002449EE">
        <w:tab/>
        <w:t>+1</w:t>
      </w:r>
      <w:r>
        <w:t>2 dBmV</w:t>
      </w:r>
    </w:p>
    <w:p w14:paraId="36849C90" w14:textId="77777777" w:rsidR="00F41CF9" w:rsidRDefault="00F41CF9" w:rsidP="00DE5CCA">
      <w:pPr>
        <w:tabs>
          <w:tab w:val="decimal" w:leader="dot" w:pos="8010"/>
        </w:tabs>
      </w:pPr>
      <w:r>
        <w:t>750 MHz Upli</w:t>
      </w:r>
      <w:r w:rsidR="003167A9">
        <w:t>nk Interferer Level @ 2.5 m:</w:t>
      </w:r>
      <w:r w:rsidR="003167A9">
        <w:tab/>
        <w:t>+34 dBmV (max)</w:t>
      </w:r>
    </w:p>
    <w:p w14:paraId="18771044" w14:textId="77777777" w:rsidR="003167A9" w:rsidRDefault="003167A9" w:rsidP="00DE5CCA">
      <w:pPr>
        <w:tabs>
          <w:tab w:val="decimal" w:leader="dot" w:pos="8010"/>
        </w:tabs>
      </w:pPr>
      <w:r>
        <w:t>750 MHz Uplink Interferer Level @ 2.5 m:</w:t>
      </w:r>
      <w:r>
        <w:tab/>
        <w:t>+26 dBmV (typical)</w:t>
      </w:r>
    </w:p>
    <w:p w14:paraId="2AB7ACEA" w14:textId="77777777" w:rsidR="0017101B" w:rsidRDefault="0017101B" w:rsidP="00DE5CCA">
      <w:pPr>
        <w:tabs>
          <w:tab w:val="decimal" w:leader="dot" w:pos="8010"/>
        </w:tabs>
      </w:pPr>
    </w:p>
    <w:p w14:paraId="637146ED" w14:textId="77777777" w:rsidR="0017101B" w:rsidRDefault="0017101B" w:rsidP="00DE5CCA">
      <w:pPr>
        <w:tabs>
          <w:tab w:val="decimal" w:leader="dot" w:pos="8010"/>
        </w:tabs>
      </w:pPr>
      <w:r>
        <w:t>Line Amplifier Input Level:</w:t>
      </w:r>
      <w:r>
        <w:tab/>
        <w:t>+10 dBmV</w:t>
      </w:r>
    </w:p>
    <w:p w14:paraId="0BBADB9A" w14:textId="77777777" w:rsidR="0017101B" w:rsidRDefault="0017101B" w:rsidP="00DE5CCA">
      <w:pPr>
        <w:tabs>
          <w:tab w:val="decimal" w:leader="dot" w:pos="8010"/>
        </w:tabs>
      </w:pPr>
      <w:r>
        <w:t>Line Amplifier Output Level:</w:t>
      </w:r>
      <w:r>
        <w:tab/>
        <w:t>+45 dBmV</w:t>
      </w:r>
    </w:p>
    <w:p w14:paraId="3CB9C8B1" w14:textId="05D57F58" w:rsidR="00D34BDE" w:rsidRDefault="00D34BDE" w:rsidP="00DE5CCA">
      <w:pPr>
        <w:tabs>
          <w:tab w:val="decimal" w:leader="dot" w:pos="8010"/>
        </w:tabs>
      </w:pPr>
      <w:r>
        <w:t>Customer Drop @ Bonding Block</w:t>
      </w:r>
      <w:r>
        <w:tab/>
        <w:t>+14 dBmV</w:t>
      </w:r>
    </w:p>
    <w:p w14:paraId="1A874CD5" w14:textId="77777777" w:rsidR="0017101B" w:rsidRDefault="0017101B" w:rsidP="00DE5CCA">
      <w:pPr>
        <w:tabs>
          <w:tab w:val="decimal" w:leader="dot" w:pos="8010"/>
        </w:tabs>
      </w:pPr>
      <w:r>
        <w:t>Customer Drop @ CPE Input:</w:t>
      </w:r>
      <w:r>
        <w:tab/>
        <w:t>-6 dBmV</w:t>
      </w:r>
    </w:p>
    <w:p w14:paraId="539B4F76" w14:textId="77777777" w:rsidR="0017101B" w:rsidRDefault="0017101B" w:rsidP="00DE5CCA">
      <w:pPr>
        <w:tabs>
          <w:tab w:val="decimal" w:leader="dot" w:pos="8010"/>
        </w:tabs>
      </w:pPr>
    </w:p>
    <w:p w14:paraId="084431AB" w14:textId="25284DA5" w:rsidR="0017101B" w:rsidRDefault="0017101B" w:rsidP="00DE5CCA">
      <w:pPr>
        <w:tabs>
          <w:tab w:val="decimal" w:leader="dot" w:pos="8010"/>
        </w:tabs>
      </w:pPr>
      <w:r>
        <w:t>Desired MER</w:t>
      </w:r>
      <w:r w:rsidR="00920381">
        <w:t xml:space="preserve"> (256-QAM)</w:t>
      </w:r>
      <w:r>
        <w:t>:</w:t>
      </w:r>
      <w:r>
        <w:tab/>
      </w:r>
      <w:r w:rsidR="000A283B">
        <w:t xml:space="preserve"> </w:t>
      </w:r>
      <w:r>
        <w:t>33 dB</w:t>
      </w:r>
    </w:p>
    <w:p w14:paraId="3B3231C2" w14:textId="77777777" w:rsidR="00920381" w:rsidRDefault="00920381" w:rsidP="00920381">
      <w:pPr>
        <w:pBdr>
          <w:bottom w:val="double" w:sz="6" w:space="1" w:color="auto"/>
        </w:pBdr>
        <w:tabs>
          <w:tab w:val="decimal" w:leader="dot" w:pos="5760"/>
        </w:tabs>
      </w:pPr>
    </w:p>
    <w:p w14:paraId="0FABA1A4" w14:textId="77777777" w:rsidR="00920381" w:rsidRDefault="00920381" w:rsidP="00920381">
      <w:pPr>
        <w:tabs>
          <w:tab w:val="decimal" w:leader="dot" w:pos="5760"/>
        </w:tabs>
      </w:pPr>
    </w:p>
    <w:p w14:paraId="4664D2F7" w14:textId="7789A6E7" w:rsidR="00920381" w:rsidRDefault="00920381" w:rsidP="00920381">
      <w:pPr>
        <w:tabs>
          <w:tab w:val="decimal" w:leader="dot" w:pos="5760"/>
        </w:tabs>
      </w:pPr>
      <w:r>
        <w:t xml:space="preserve">To achieve desired </w:t>
      </w:r>
      <w:r w:rsidR="00DE5CCA">
        <w:t>downstream</w:t>
      </w:r>
      <w:r w:rsidR="007C74FE">
        <w:t xml:space="preserve"> </w:t>
      </w:r>
      <w:r>
        <w:t>MER</w:t>
      </w:r>
      <w:r w:rsidR="002449EE">
        <w:t xml:space="preserve"> from a single-point leakage flaw</w:t>
      </w:r>
      <w:r>
        <w:t>:</w:t>
      </w:r>
    </w:p>
    <w:p w14:paraId="24FE2506" w14:textId="77777777" w:rsidR="00920381" w:rsidRDefault="00920381" w:rsidP="00920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C7176C" w:rsidRPr="00E70D11" w14:paraId="1FA1C059" w14:textId="77777777" w:rsidTr="00C7176C">
        <w:tc>
          <w:tcPr>
            <w:tcW w:w="20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DF221C" w14:textId="77777777" w:rsidR="00C7176C" w:rsidRPr="00E70D11" w:rsidRDefault="00C7176C" w:rsidP="00E70D11">
            <w:pPr>
              <w:jc w:val="center"/>
              <w:rPr>
                <w:b/>
              </w:rPr>
            </w:pPr>
          </w:p>
        </w:tc>
        <w:tc>
          <w:tcPr>
            <w:tcW w:w="6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5839" w14:textId="77777777" w:rsidR="00C7176C" w:rsidRPr="00E70D11" w:rsidRDefault="00C7176C" w:rsidP="00C7176C">
            <w:pPr>
              <w:jc w:val="center"/>
              <w:rPr>
                <w:b/>
              </w:rPr>
            </w:pPr>
            <w:r>
              <w:rPr>
                <w:b/>
              </w:rPr>
              <w:t>Downlink Interferer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6A8F" w14:textId="77777777" w:rsidR="00C7176C" w:rsidRPr="00E70D11" w:rsidRDefault="00C7176C" w:rsidP="00E70D11">
            <w:pPr>
              <w:jc w:val="center"/>
              <w:rPr>
                <w:b/>
              </w:rPr>
            </w:pPr>
            <w:r>
              <w:rPr>
                <w:b/>
              </w:rPr>
              <w:t>Uplink Interferer</w:t>
            </w:r>
          </w:p>
        </w:tc>
      </w:tr>
      <w:tr w:rsidR="00C7176C" w14:paraId="704F4982" w14:textId="77777777" w:rsidTr="00C7176C"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CEC5A" w14:textId="77777777" w:rsidR="00C7176C" w:rsidRPr="00E70D11" w:rsidRDefault="00C7176C" w:rsidP="00C7176C">
            <w:pPr>
              <w:jc w:val="center"/>
              <w:rPr>
                <w:b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E40040" w14:textId="506A9D42" w:rsidR="00C7176C" w:rsidRPr="00E70D11" w:rsidRDefault="00430146" w:rsidP="00C7176C">
            <w:pPr>
              <w:jc w:val="center"/>
              <w:rPr>
                <w:b/>
              </w:rPr>
            </w:pPr>
            <w:r>
              <w:rPr>
                <w:b/>
              </w:rPr>
              <w:t xml:space="preserve">Line Amp Input </w:t>
            </w:r>
          </w:p>
        </w:tc>
        <w:tc>
          <w:tcPr>
            <w:tcW w:w="2059" w:type="dxa"/>
            <w:tcBorders>
              <w:top w:val="single" w:sz="4" w:space="0" w:color="auto"/>
            </w:tcBorders>
            <w:vAlign w:val="center"/>
          </w:tcPr>
          <w:p w14:paraId="03EA8300" w14:textId="30F3C312" w:rsidR="00C7176C" w:rsidRPr="00E70D11" w:rsidRDefault="00430146" w:rsidP="00C7176C">
            <w:pPr>
              <w:jc w:val="center"/>
              <w:rPr>
                <w:b/>
              </w:rPr>
            </w:pPr>
            <w:r>
              <w:rPr>
                <w:b/>
              </w:rPr>
              <w:t>Line Amp Output</w:t>
            </w:r>
          </w:p>
        </w:tc>
        <w:tc>
          <w:tcPr>
            <w:tcW w:w="2059" w:type="dxa"/>
            <w:tcBorders>
              <w:top w:val="single" w:sz="4" w:space="0" w:color="auto"/>
            </w:tcBorders>
            <w:vAlign w:val="center"/>
          </w:tcPr>
          <w:p w14:paraId="56B0521E" w14:textId="23F95774" w:rsidR="00C7176C" w:rsidRPr="00E70D11" w:rsidRDefault="00430146" w:rsidP="00C7176C">
            <w:pPr>
              <w:jc w:val="center"/>
              <w:rPr>
                <w:b/>
              </w:rPr>
            </w:pPr>
            <w:r>
              <w:rPr>
                <w:b/>
              </w:rPr>
              <w:t>House Drop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vAlign w:val="center"/>
          </w:tcPr>
          <w:p w14:paraId="454B2ECD" w14:textId="3F421203" w:rsidR="00C7176C" w:rsidRPr="00E70D11" w:rsidRDefault="00430146" w:rsidP="00C7176C">
            <w:pPr>
              <w:jc w:val="center"/>
              <w:rPr>
                <w:b/>
              </w:rPr>
            </w:pPr>
            <w:r>
              <w:rPr>
                <w:b/>
              </w:rPr>
              <w:t>House Drop</w:t>
            </w:r>
          </w:p>
        </w:tc>
      </w:tr>
      <w:tr w:rsidR="00C7176C" w14:paraId="7AFC9D0C" w14:textId="77777777" w:rsidTr="00C7176C">
        <w:tc>
          <w:tcPr>
            <w:tcW w:w="2059" w:type="dxa"/>
            <w:tcBorders>
              <w:top w:val="single" w:sz="4" w:space="0" w:color="auto"/>
            </w:tcBorders>
          </w:tcPr>
          <w:p w14:paraId="2CC3F4AB" w14:textId="77777777" w:rsidR="00C7176C" w:rsidRPr="00E70D11" w:rsidRDefault="00C7176C" w:rsidP="00C7176C">
            <w:pPr>
              <w:rPr>
                <w:b/>
              </w:rPr>
            </w:pPr>
            <w:r>
              <w:rPr>
                <w:b/>
              </w:rPr>
              <w:t xml:space="preserve">QAM </w:t>
            </w:r>
            <w:r w:rsidRPr="00E70D11">
              <w:rPr>
                <w:b/>
              </w:rPr>
              <w:t>Signal Level</w:t>
            </w:r>
          </w:p>
        </w:tc>
        <w:tc>
          <w:tcPr>
            <w:tcW w:w="2059" w:type="dxa"/>
            <w:vAlign w:val="center"/>
          </w:tcPr>
          <w:p w14:paraId="748E0215" w14:textId="3A588DCC" w:rsidR="00C7176C" w:rsidRDefault="00C7176C" w:rsidP="00C7176C">
            <w:pPr>
              <w:jc w:val="center"/>
            </w:pPr>
            <w:r>
              <w:t>+10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06F2E827" w14:textId="72449729" w:rsidR="00C7176C" w:rsidRDefault="00C7176C" w:rsidP="00C7176C">
            <w:pPr>
              <w:jc w:val="center"/>
            </w:pPr>
            <w:r>
              <w:t>+45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2FC0D1D9" w14:textId="4C67E7BF" w:rsidR="00D34BDE" w:rsidRDefault="00D34BDE" w:rsidP="00D34BDE">
            <w:pPr>
              <w:jc w:val="center"/>
            </w:pPr>
            <w:r>
              <w:t>+14</w:t>
            </w:r>
            <w:r w:rsidR="00430146">
              <w:t xml:space="preserve"> dBmV</w:t>
            </w:r>
          </w:p>
        </w:tc>
        <w:tc>
          <w:tcPr>
            <w:tcW w:w="2060" w:type="dxa"/>
            <w:vAlign w:val="center"/>
          </w:tcPr>
          <w:p w14:paraId="133F35B8" w14:textId="49325AEF" w:rsidR="00C7176C" w:rsidRDefault="00C7176C" w:rsidP="00C7176C">
            <w:pPr>
              <w:jc w:val="center"/>
            </w:pPr>
            <w:r>
              <w:t>-6</w:t>
            </w:r>
            <w:r w:rsidR="00430146">
              <w:t xml:space="preserve"> dBmV</w:t>
            </w:r>
          </w:p>
        </w:tc>
      </w:tr>
      <w:tr w:rsidR="00C7176C" w14:paraId="6F8A8C0B" w14:textId="77777777" w:rsidTr="00C7176C">
        <w:tc>
          <w:tcPr>
            <w:tcW w:w="2059" w:type="dxa"/>
          </w:tcPr>
          <w:p w14:paraId="4821C0F5" w14:textId="7A915459" w:rsidR="00C7176C" w:rsidRPr="00E70D11" w:rsidRDefault="00C7176C" w:rsidP="00C7176C">
            <w:pPr>
              <w:rPr>
                <w:b/>
              </w:rPr>
            </w:pPr>
            <w:r w:rsidRPr="00E70D11">
              <w:rPr>
                <w:b/>
              </w:rPr>
              <w:t>Desired MER</w:t>
            </w:r>
          </w:p>
        </w:tc>
        <w:tc>
          <w:tcPr>
            <w:tcW w:w="2059" w:type="dxa"/>
            <w:vAlign w:val="center"/>
          </w:tcPr>
          <w:p w14:paraId="51F44A8C" w14:textId="2911FCC9" w:rsidR="00C7176C" w:rsidRDefault="00C7176C" w:rsidP="00C7176C">
            <w:pPr>
              <w:jc w:val="center"/>
            </w:pPr>
            <w:r>
              <w:t>33</w:t>
            </w:r>
            <w:r w:rsidR="00430146">
              <w:t xml:space="preserve"> </w:t>
            </w:r>
            <w:proofErr w:type="spellStart"/>
            <w:r w:rsidR="00430146">
              <w:t>dBc</w:t>
            </w:r>
            <w:proofErr w:type="spellEnd"/>
          </w:p>
        </w:tc>
        <w:tc>
          <w:tcPr>
            <w:tcW w:w="2059" w:type="dxa"/>
            <w:vAlign w:val="center"/>
          </w:tcPr>
          <w:p w14:paraId="23DCCB02" w14:textId="321B7CB1" w:rsidR="00C7176C" w:rsidRDefault="00C7176C" w:rsidP="00C7176C">
            <w:pPr>
              <w:jc w:val="center"/>
            </w:pPr>
            <w:r>
              <w:t>33</w:t>
            </w:r>
            <w:r w:rsidR="00430146">
              <w:t xml:space="preserve"> </w:t>
            </w:r>
            <w:proofErr w:type="spellStart"/>
            <w:r w:rsidR="00430146">
              <w:t>dBc</w:t>
            </w:r>
            <w:proofErr w:type="spellEnd"/>
          </w:p>
        </w:tc>
        <w:tc>
          <w:tcPr>
            <w:tcW w:w="2059" w:type="dxa"/>
            <w:vAlign w:val="center"/>
          </w:tcPr>
          <w:p w14:paraId="6864BFA6" w14:textId="638B6BB0" w:rsidR="00C7176C" w:rsidRDefault="00C7176C" w:rsidP="00C7176C">
            <w:pPr>
              <w:jc w:val="center"/>
            </w:pPr>
            <w:r>
              <w:t>33</w:t>
            </w:r>
            <w:r w:rsidR="00430146">
              <w:t xml:space="preserve"> </w:t>
            </w:r>
            <w:proofErr w:type="spellStart"/>
            <w:r w:rsidR="00430146">
              <w:t>dBc</w:t>
            </w:r>
            <w:proofErr w:type="spellEnd"/>
          </w:p>
        </w:tc>
        <w:tc>
          <w:tcPr>
            <w:tcW w:w="2060" w:type="dxa"/>
            <w:vAlign w:val="center"/>
          </w:tcPr>
          <w:p w14:paraId="7C193EC8" w14:textId="76AF3386" w:rsidR="00C7176C" w:rsidRDefault="00C7176C" w:rsidP="00C7176C">
            <w:pPr>
              <w:jc w:val="center"/>
            </w:pPr>
            <w:r>
              <w:t>33</w:t>
            </w:r>
            <w:r w:rsidR="00430146">
              <w:t xml:space="preserve"> </w:t>
            </w:r>
            <w:proofErr w:type="spellStart"/>
            <w:r w:rsidR="00430146">
              <w:t>dBc</w:t>
            </w:r>
            <w:proofErr w:type="spellEnd"/>
          </w:p>
        </w:tc>
      </w:tr>
      <w:tr w:rsidR="00C7176C" w14:paraId="199034F9" w14:textId="77777777" w:rsidTr="00C7176C">
        <w:tc>
          <w:tcPr>
            <w:tcW w:w="2059" w:type="dxa"/>
          </w:tcPr>
          <w:p w14:paraId="312B78E9" w14:textId="77777777" w:rsidR="00C7176C" w:rsidRPr="00E70D11" w:rsidRDefault="00C7176C" w:rsidP="00C7176C">
            <w:pPr>
              <w:rPr>
                <w:b/>
              </w:rPr>
            </w:pPr>
            <w:r w:rsidRPr="00E70D11">
              <w:rPr>
                <w:b/>
              </w:rPr>
              <w:t>Max Allowable Interferer Level</w:t>
            </w:r>
          </w:p>
        </w:tc>
        <w:tc>
          <w:tcPr>
            <w:tcW w:w="2059" w:type="dxa"/>
            <w:vAlign w:val="center"/>
          </w:tcPr>
          <w:p w14:paraId="6BCA404F" w14:textId="2BD766C8" w:rsidR="00C7176C" w:rsidRDefault="00C7176C" w:rsidP="00C7176C">
            <w:pPr>
              <w:jc w:val="center"/>
            </w:pPr>
            <w:r>
              <w:t>-23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49120358" w14:textId="018EC5FA" w:rsidR="00C7176C" w:rsidRDefault="00C7176C" w:rsidP="00C7176C">
            <w:pPr>
              <w:jc w:val="center"/>
            </w:pPr>
            <w:r>
              <w:t>+12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53172F7E" w14:textId="5D4DA797" w:rsidR="00C7176C" w:rsidRDefault="00D34BDE" w:rsidP="00C7176C">
            <w:pPr>
              <w:jc w:val="center"/>
            </w:pPr>
            <w:r>
              <w:t>-1</w:t>
            </w:r>
            <w:r w:rsidR="00C7176C">
              <w:t>9</w:t>
            </w:r>
            <w:r w:rsidR="00430146">
              <w:t xml:space="preserve"> dBmV</w:t>
            </w:r>
          </w:p>
        </w:tc>
        <w:tc>
          <w:tcPr>
            <w:tcW w:w="2060" w:type="dxa"/>
            <w:vAlign w:val="center"/>
          </w:tcPr>
          <w:p w14:paraId="3B85DD86" w14:textId="0723264D" w:rsidR="00C7176C" w:rsidRDefault="00C7176C" w:rsidP="00C7176C">
            <w:pPr>
              <w:jc w:val="center"/>
            </w:pPr>
            <w:r>
              <w:t>-39</w:t>
            </w:r>
            <w:r w:rsidR="00430146">
              <w:t xml:space="preserve"> dBmV</w:t>
            </w:r>
          </w:p>
        </w:tc>
      </w:tr>
      <w:tr w:rsidR="00C7176C" w14:paraId="535BFEFB" w14:textId="77777777" w:rsidTr="00C7176C">
        <w:tc>
          <w:tcPr>
            <w:tcW w:w="2059" w:type="dxa"/>
          </w:tcPr>
          <w:p w14:paraId="4C4CFF63" w14:textId="77777777" w:rsidR="00C7176C" w:rsidRPr="00E70D11" w:rsidRDefault="00C7176C" w:rsidP="00C7176C">
            <w:pPr>
              <w:rPr>
                <w:b/>
              </w:rPr>
            </w:pPr>
            <w:r>
              <w:rPr>
                <w:b/>
              </w:rPr>
              <w:t xml:space="preserve">LTE </w:t>
            </w:r>
            <w:r w:rsidRPr="00E70D11">
              <w:rPr>
                <w:b/>
              </w:rPr>
              <w:t>Interferer Level</w:t>
            </w:r>
          </w:p>
        </w:tc>
        <w:tc>
          <w:tcPr>
            <w:tcW w:w="2059" w:type="dxa"/>
            <w:vAlign w:val="center"/>
          </w:tcPr>
          <w:p w14:paraId="40EE4504" w14:textId="6A80F9C3" w:rsidR="00C7176C" w:rsidRDefault="002449EE" w:rsidP="00C7176C">
            <w:pPr>
              <w:jc w:val="center"/>
            </w:pPr>
            <w:r>
              <w:t>+1</w:t>
            </w:r>
            <w:r w:rsidR="00C7176C">
              <w:t>2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0FDA924F" w14:textId="70FAAAF8" w:rsidR="00C7176C" w:rsidRDefault="002449EE" w:rsidP="00C7176C">
            <w:pPr>
              <w:jc w:val="center"/>
            </w:pPr>
            <w:r>
              <w:t>+1</w:t>
            </w:r>
            <w:r w:rsidR="00C7176C">
              <w:t>2</w:t>
            </w:r>
            <w:r w:rsidR="00430146">
              <w:t xml:space="preserve"> dBmV</w:t>
            </w:r>
          </w:p>
        </w:tc>
        <w:tc>
          <w:tcPr>
            <w:tcW w:w="2059" w:type="dxa"/>
            <w:vAlign w:val="center"/>
          </w:tcPr>
          <w:p w14:paraId="4F2B8ABC" w14:textId="5B7DD2F8" w:rsidR="00C7176C" w:rsidRDefault="002449EE" w:rsidP="00C7176C">
            <w:pPr>
              <w:jc w:val="center"/>
            </w:pPr>
            <w:r>
              <w:t>+1</w:t>
            </w:r>
            <w:r w:rsidR="00C7176C">
              <w:t>2</w:t>
            </w:r>
            <w:r w:rsidR="00430146">
              <w:t xml:space="preserve"> dBmV</w:t>
            </w:r>
          </w:p>
        </w:tc>
        <w:tc>
          <w:tcPr>
            <w:tcW w:w="2060" w:type="dxa"/>
            <w:vAlign w:val="center"/>
          </w:tcPr>
          <w:p w14:paraId="54762450" w14:textId="77777777" w:rsidR="00C7176C" w:rsidRDefault="00C7176C" w:rsidP="00C7176C">
            <w:pPr>
              <w:jc w:val="center"/>
            </w:pPr>
            <w:r>
              <w:t>+26 (typical)</w:t>
            </w:r>
          </w:p>
        </w:tc>
      </w:tr>
      <w:tr w:rsidR="00C7176C" w14:paraId="7664D232" w14:textId="77777777" w:rsidTr="00C7176C">
        <w:tc>
          <w:tcPr>
            <w:tcW w:w="2059" w:type="dxa"/>
          </w:tcPr>
          <w:p w14:paraId="0B51CEEF" w14:textId="5B7AA183" w:rsidR="00C7176C" w:rsidRPr="00E70D11" w:rsidRDefault="00430146" w:rsidP="00C7176C">
            <w:pPr>
              <w:rPr>
                <w:b/>
              </w:rPr>
            </w:pPr>
            <w:r>
              <w:rPr>
                <w:b/>
              </w:rPr>
              <w:t>Shielding Integrity</w:t>
            </w:r>
            <w:r w:rsidR="008A4640">
              <w:rPr>
                <w:b/>
              </w:rPr>
              <w:t xml:space="preserve"> Enabling LTE Interference</w:t>
            </w:r>
          </w:p>
        </w:tc>
        <w:tc>
          <w:tcPr>
            <w:tcW w:w="2059" w:type="dxa"/>
            <w:vAlign w:val="center"/>
          </w:tcPr>
          <w:p w14:paraId="5C7C61F1" w14:textId="0A92F908" w:rsidR="00C7176C" w:rsidRDefault="008A4640" w:rsidP="00C7176C">
            <w:pPr>
              <w:jc w:val="center"/>
            </w:pPr>
            <w:r>
              <w:t>≤</w:t>
            </w:r>
            <w:r w:rsidR="002449EE">
              <w:t>3</w:t>
            </w:r>
            <w:r w:rsidR="00C7176C">
              <w:t>5</w:t>
            </w:r>
            <w:r w:rsidR="00430146">
              <w:t xml:space="preserve"> dB</w:t>
            </w:r>
          </w:p>
        </w:tc>
        <w:tc>
          <w:tcPr>
            <w:tcW w:w="2059" w:type="dxa"/>
            <w:vAlign w:val="center"/>
          </w:tcPr>
          <w:p w14:paraId="2AC64074" w14:textId="6DC5A268" w:rsidR="00C7176C" w:rsidRDefault="00C7176C" w:rsidP="00C7176C">
            <w:pPr>
              <w:jc w:val="center"/>
            </w:pPr>
            <w:r>
              <w:t>0</w:t>
            </w:r>
            <w:r w:rsidR="00430146">
              <w:t xml:space="preserve"> dB</w:t>
            </w:r>
          </w:p>
        </w:tc>
        <w:tc>
          <w:tcPr>
            <w:tcW w:w="2059" w:type="dxa"/>
            <w:vAlign w:val="center"/>
          </w:tcPr>
          <w:p w14:paraId="12A37D2E" w14:textId="622E875E" w:rsidR="00C7176C" w:rsidRDefault="008A4640" w:rsidP="00C7176C">
            <w:pPr>
              <w:jc w:val="center"/>
            </w:pPr>
            <w:r>
              <w:t>≤</w:t>
            </w:r>
            <w:r w:rsidR="002449EE">
              <w:t>3</w:t>
            </w:r>
            <w:r w:rsidR="00C7176C">
              <w:t>1</w:t>
            </w:r>
            <w:r w:rsidR="00430146">
              <w:t xml:space="preserve"> dB</w:t>
            </w:r>
          </w:p>
        </w:tc>
        <w:tc>
          <w:tcPr>
            <w:tcW w:w="2060" w:type="dxa"/>
            <w:vAlign w:val="center"/>
          </w:tcPr>
          <w:p w14:paraId="25061BCA" w14:textId="2E0C1D75" w:rsidR="00C7176C" w:rsidRDefault="008A4640" w:rsidP="00C7176C">
            <w:pPr>
              <w:jc w:val="center"/>
            </w:pPr>
            <w:r>
              <w:t>≤</w:t>
            </w:r>
            <w:r w:rsidR="00C7176C">
              <w:t>65</w:t>
            </w:r>
            <w:r w:rsidR="00430146">
              <w:t xml:space="preserve"> dB</w:t>
            </w:r>
          </w:p>
        </w:tc>
      </w:tr>
      <w:tr w:rsidR="00C7176C" w14:paraId="4A54ADD7" w14:textId="77777777" w:rsidTr="00C7176C">
        <w:tc>
          <w:tcPr>
            <w:tcW w:w="2059" w:type="dxa"/>
          </w:tcPr>
          <w:p w14:paraId="14E0C2C0" w14:textId="710D3137" w:rsidR="004E24D4" w:rsidRPr="00E70D11" w:rsidRDefault="009A1477" w:rsidP="00C7176C">
            <w:pPr>
              <w:rPr>
                <w:b/>
              </w:rPr>
            </w:pPr>
            <w:r>
              <w:rPr>
                <w:b/>
              </w:rPr>
              <w:t>774 MHz Leakage</w:t>
            </w:r>
          </w:p>
        </w:tc>
        <w:tc>
          <w:tcPr>
            <w:tcW w:w="2059" w:type="dxa"/>
            <w:vAlign w:val="center"/>
          </w:tcPr>
          <w:p w14:paraId="4CA1B777" w14:textId="038F52B0" w:rsidR="00D34BDE" w:rsidRDefault="002449EE" w:rsidP="00430146">
            <w:pPr>
              <w:jc w:val="center"/>
            </w:pPr>
            <w:r>
              <w:t>9</w:t>
            </w:r>
            <w:r w:rsidR="00430146">
              <w:t xml:space="preserve"> µV/m</w:t>
            </w:r>
          </w:p>
          <w:p w14:paraId="0D9BF986" w14:textId="602C6BA5" w:rsidR="00C7176C" w:rsidRDefault="00430146" w:rsidP="00C7176C">
            <w:pPr>
              <w:jc w:val="center"/>
            </w:pPr>
            <w:r>
              <w:t xml:space="preserve">@ </w:t>
            </w:r>
            <w:r w:rsidR="009A1477">
              <w:t>10 feet</w:t>
            </w:r>
          </w:p>
        </w:tc>
        <w:tc>
          <w:tcPr>
            <w:tcW w:w="2059" w:type="dxa"/>
            <w:vAlign w:val="center"/>
          </w:tcPr>
          <w:p w14:paraId="33C03EE1" w14:textId="4361D2B8" w:rsidR="00C7176C" w:rsidRDefault="002449EE" w:rsidP="00C7176C">
            <w:pPr>
              <w:jc w:val="center"/>
            </w:pPr>
            <w:r>
              <w:t>28,904</w:t>
            </w:r>
            <w:r w:rsidR="00430146">
              <w:t xml:space="preserve"> µV/m</w:t>
            </w:r>
          </w:p>
          <w:p w14:paraId="7139163A" w14:textId="232A8B70" w:rsidR="00C7176C" w:rsidRDefault="00430146" w:rsidP="00C7176C">
            <w:pPr>
              <w:jc w:val="center"/>
            </w:pPr>
            <w:r>
              <w:t xml:space="preserve">@ </w:t>
            </w:r>
            <w:r w:rsidR="009A1477">
              <w:t>10 feet</w:t>
            </w:r>
          </w:p>
        </w:tc>
        <w:tc>
          <w:tcPr>
            <w:tcW w:w="2059" w:type="dxa"/>
            <w:vAlign w:val="center"/>
          </w:tcPr>
          <w:p w14:paraId="133ECF94" w14:textId="6386F083" w:rsidR="00D34BDE" w:rsidRDefault="002449EE" w:rsidP="00C7176C">
            <w:pPr>
              <w:jc w:val="center"/>
            </w:pPr>
            <w:r>
              <w:t>23</w:t>
            </w:r>
            <w:r w:rsidR="00430146">
              <w:t xml:space="preserve"> µV/m</w:t>
            </w:r>
          </w:p>
          <w:p w14:paraId="36169CC4" w14:textId="323400C9" w:rsidR="00C7176C" w:rsidRDefault="00430146" w:rsidP="00C7176C">
            <w:pPr>
              <w:jc w:val="center"/>
            </w:pPr>
            <w:r>
              <w:t xml:space="preserve">@ </w:t>
            </w:r>
            <w:r w:rsidR="009A1477">
              <w:t>10 feet</w:t>
            </w:r>
          </w:p>
        </w:tc>
        <w:tc>
          <w:tcPr>
            <w:tcW w:w="2060" w:type="dxa"/>
            <w:vAlign w:val="center"/>
          </w:tcPr>
          <w:p w14:paraId="5BD20DC5" w14:textId="760C8EF5" w:rsidR="00D34BDE" w:rsidRDefault="009A1477" w:rsidP="00C7176C">
            <w:pPr>
              <w:jc w:val="center"/>
            </w:pPr>
            <w:r>
              <w:t>&gt;</w:t>
            </w:r>
            <w:r w:rsidR="00D34BDE">
              <w:t>1</w:t>
            </w:r>
            <w:r w:rsidR="00430146">
              <w:t xml:space="preserve"> µV/m</w:t>
            </w:r>
          </w:p>
          <w:p w14:paraId="1C88E20C" w14:textId="100EE23C" w:rsidR="00C7176C" w:rsidRDefault="00430146" w:rsidP="00C7176C">
            <w:pPr>
              <w:jc w:val="center"/>
            </w:pPr>
            <w:r>
              <w:t xml:space="preserve">@ </w:t>
            </w:r>
            <w:r w:rsidR="009A1477">
              <w:t>8.2 feet</w:t>
            </w:r>
          </w:p>
        </w:tc>
      </w:tr>
    </w:tbl>
    <w:p w14:paraId="2D9DF5E3" w14:textId="73082A5E" w:rsidR="00E70D11" w:rsidRDefault="00E70D11" w:rsidP="00C161E8"/>
    <w:p w14:paraId="2D3DCBB4" w14:textId="2E1653BC" w:rsidR="004E24D4" w:rsidRDefault="004E24D4" w:rsidP="00C161E8">
      <w:r>
        <w:t>Max Allowable Interferer Level = QAM Signal Level – Desired MER</w:t>
      </w:r>
    </w:p>
    <w:p w14:paraId="72E3E8E6" w14:textId="77777777" w:rsidR="004E24D4" w:rsidRDefault="004E24D4" w:rsidP="00C161E8"/>
    <w:p w14:paraId="39A5F0DE" w14:textId="7DCD174C" w:rsidR="004E24D4" w:rsidRDefault="004E24D4" w:rsidP="00C161E8">
      <w:r>
        <w:t xml:space="preserve">LTE Interferer Level is </w:t>
      </w:r>
      <w:r w:rsidR="008A4640">
        <w:t>computed using the</w:t>
      </w:r>
      <w:r w:rsidR="00430146">
        <w:t xml:space="preserve"> </w:t>
      </w:r>
      <w:proofErr w:type="spellStart"/>
      <w:r w:rsidR="00430146">
        <w:t>Hata</w:t>
      </w:r>
      <w:proofErr w:type="spellEnd"/>
      <w:r w:rsidR="00430146">
        <w:t xml:space="preserve"> model</w:t>
      </w:r>
      <w:r w:rsidR="008A4640">
        <w:t xml:space="preserve"> Open Air formula</w:t>
      </w:r>
      <w:r w:rsidR="0092223C">
        <w:t>.</w:t>
      </w:r>
    </w:p>
    <w:p w14:paraId="2C6AB5B8" w14:textId="77777777" w:rsidR="004E24D4" w:rsidRDefault="004E24D4" w:rsidP="00C161E8"/>
    <w:p w14:paraId="29971A08" w14:textId="4DC67947" w:rsidR="004E24D4" w:rsidRDefault="004E24D4" w:rsidP="00C161E8">
      <w:r>
        <w:t>Required Shielding Integrity = LTE Interferer Level – Max Allowable Interferer Level</w:t>
      </w:r>
    </w:p>
    <w:p w14:paraId="14CA188E" w14:textId="77777777" w:rsidR="004E24D4" w:rsidRDefault="004E24D4" w:rsidP="00C161E8"/>
    <w:p w14:paraId="5663CD43" w14:textId="543AADFC" w:rsidR="004E24D4" w:rsidRDefault="00FC19F7" w:rsidP="00C161E8">
      <w:r>
        <w:t xml:space="preserve">774 Leakage </w:t>
      </w:r>
      <w:r w:rsidR="00207D42">
        <w:t>measured at the stated distance</w:t>
      </w:r>
      <w:r w:rsidR="009A1477">
        <w:t xml:space="preserve"> </w:t>
      </w:r>
      <w:r>
        <w:t>from the actual leak source.</w:t>
      </w:r>
      <w:r w:rsidR="00207D42">
        <w:t xml:space="preserve"> Free-space loss @ 10 feet = 39.9 dB</w:t>
      </w:r>
      <w:proofErr w:type="gramStart"/>
      <w:r w:rsidR="00207D42">
        <w:t>;</w:t>
      </w:r>
      <w:proofErr w:type="gramEnd"/>
      <w:r w:rsidR="00207D42">
        <w:t xml:space="preserve"> at 8.2 feet = 38.2 </w:t>
      </w:r>
      <w:proofErr w:type="spellStart"/>
      <w:r w:rsidR="00207D42">
        <w:t>dB.</w:t>
      </w:r>
      <w:proofErr w:type="spellEnd"/>
    </w:p>
    <w:p w14:paraId="39F48206" w14:textId="77777777" w:rsidR="00E658DC" w:rsidRDefault="00E658DC" w:rsidP="00C161E8"/>
    <w:p w14:paraId="742CF37F" w14:textId="6A878F62" w:rsidR="00E658DC" w:rsidRDefault="00E658DC" w:rsidP="00C161E8">
      <w:r>
        <w:t>The implications:</w:t>
      </w:r>
    </w:p>
    <w:p w14:paraId="7B864EBC" w14:textId="77777777" w:rsidR="00E658DC" w:rsidRDefault="00E658DC" w:rsidP="00C161E8"/>
    <w:p w14:paraId="6A1D1057" w14:textId="2B3B008A" w:rsidR="0045599E" w:rsidRDefault="00E658DC" w:rsidP="00C161E8">
      <w:r>
        <w:t xml:space="preserve">The home environment presents the most vulnerable opportunity for </w:t>
      </w:r>
      <w:r w:rsidR="008A4640">
        <w:t xml:space="preserve">LTE </w:t>
      </w:r>
      <w:r>
        <w:t xml:space="preserve">ingress interference since the signal level is </w:t>
      </w:r>
      <w:r w:rsidR="0045599E">
        <w:t xml:space="preserve">so strong in this environment. The least likely to </w:t>
      </w:r>
      <w:r w:rsidR="008A4640">
        <w:t>exhibit susceptibility</w:t>
      </w:r>
      <w:r w:rsidR="003817E3">
        <w:t xml:space="preserve"> to LTE ingress </w:t>
      </w:r>
      <w:r w:rsidR="007A11A6">
        <w:t xml:space="preserve">at the selected distance from the LTE site </w:t>
      </w:r>
      <w:r w:rsidR="003817E3">
        <w:t>is the o</w:t>
      </w:r>
      <w:r w:rsidR="008A4640">
        <w:t>utput side of a line amplifier.</w:t>
      </w:r>
    </w:p>
    <w:p w14:paraId="061A3191" w14:textId="77777777" w:rsidR="0045599E" w:rsidRDefault="0045599E" w:rsidP="00C161E8"/>
    <w:p w14:paraId="6D94A400" w14:textId="7808D682" w:rsidR="00E658DC" w:rsidRDefault="00E658DC" w:rsidP="00C161E8">
      <w:r>
        <w:t>Producing signal leakage of less than 1 µV/m from internal wiring presenting a shielding integrity of 65 dB, it also is the most difficult to detect using available sig</w:t>
      </w:r>
      <w:r w:rsidR="0045599E">
        <w:t xml:space="preserve">nal leakage detection methods. </w:t>
      </w:r>
      <w:r>
        <w:t xml:space="preserve">A better technology would use the M3 high-level solution to push a dramatically larger signal into the internal wiring while disconnected from the network. </w:t>
      </w:r>
      <w:r w:rsidR="0045599E">
        <w:t xml:space="preserve">The marginally useful signal leakage detector will now respond very well to the higher leakage levels. </w:t>
      </w:r>
      <w:r>
        <w:t xml:space="preserve">Where this is not practical, </w:t>
      </w:r>
      <w:r w:rsidR="0045599E">
        <w:t>a reversal technology must be implemented where a high level signal is broadcast into the in-home environment. Internal wiring gathers the broadcast signal at points of vulnerability and forwards the residual to a central location for processing.</w:t>
      </w:r>
    </w:p>
    <w:p w14:paraId="43952261" w14:textId="77777777" w:rsidR="0045599E" w:rsidRDefault="0045599E" w:rsidP="00C161E8"/>
    <w:p w14:paraId="0E258B96" w14:textId="119084E7" w:rsidR="0045599E" w:rsidRDefault="007A11A6" w:rsidP="00C161E8">
      <w:r>
        <w:t>To be effective, an ingress solution must deliver adequate signal level to</w:t>
      </w:r>
      <w:bookmarkStart w:id="0" w:name="_GoBack"/>
      <w:bookmarkEnd w:id="0"/>
    </w:p>
    <w:sectPr w:rsidR="0045599E" w:rsidSect="00F3677E">
      <w:pgSz w:w="12240" w:h="15840"/>
      <w:pgMar w:top="1080" w:right="1080" w:bottom="1080" w:left="1080" w:header="720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65775" w14:textId="77777777" w:rsidR="008A4640" w:rsidRDefault="008A4640" w:rsidP="004D52B2">
      <w:r>
        <w:separator/>
      </w:r>
    </w:p>
  </w:endnote>
  <w:endnote w:type="continuationSeparator" w:id="0">
    <w:p w14:paraId="4B9C29EC" w14:textId="77777777" w:rsidR="008A4640" w:rsidRDefault="008A4640" w:rsidP="004D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EC4B5" w14:textId="77777777" w:rsidR="008A4640" w:rsidRDefault="008A4640" w:rsidP="004D52B2">
      <w:r>
        <w:separator/>
      </w:r>
    </w:p>
  </w:footnote>
  <w:footnote w:type="continuationSeparator" w:id="0">
    <w:p w14:paraId="78CB9FED" w14:textId="77777777" w:rsidR="008A4640" w:rsidRDefault="008A4640" w:rsidP="004D52B2">
      <w:r>
        <w:continuationSeparator/>
      </w:r>
    </w:p>
  </w:footnote>
  <w:footnote w:id="1">
    <w:p w14:paraId="19CB63E6" w14:textId="17612D08" w:rsidR="008A4640" w:rsidRDefault="008A4640">
      <w:pPr>
        <w:pStyle w:val="FootnoteText"/>
      </w:pPr>
      <w:r>
        <w:rPr>
          <w:rStyle w:val="FootnoteReference"/>
        </w:rPr>
        <w:footnoteRef/>
      </w:r>
      <w:r>
        <w:t xml:space="preserve"> Ref.: </w:t>
      </w:r>
      <w:hyperlink r:id="rId1" w:history="1">
        <w:r w:rsidRPr="00D52936">
          <w:rPr>
            <w:rStyle w:val="Hyperlink"/>
          </w:rPr>
          <w:t>https://sites.google.com/site/lteencyclopedia/lte-radio-link-budgeting-and-rf-planning</w:t>
        </w:r>
      </w:hyperlink>
      <w:r>
        <w:t>,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1B"/>
    <w:rsid w:val="00020D7E"/>
    <w:rsid w:val="000A283B"/>
    <w:rsid w:val="0017101B"/>
    <w:rsid w:val="00207D42"/>
    <w:rsid w:val="002449EE"/>
    <w:rsid w:val="0025093A"/>
    <w:rsid w:val="003167A9"/>
    <w:rsid w:val="0033564B"/>
    <w:rsid w:val="003817E3"/>
    <w:rsid w:val="00430146"/>
    <w:rsid w:val="0045599E"/>
    <w:rsid w:val="004D52B2"/>
    <w:rsid w:val="004E044C"/>
    <w:rsid w:val="004E24D4"/>
    <w:rsid w:val="005A6213"/>
    <w:rsid w:val="00650FCC"/>
    <w:rsid w:val="007A11A6"/>
    <w:rsid w:val="007C74FE"/>
    <w:rsid w:val="007F16EC"/>
    <w:rsid w:val="008A4640"/>
    <w:rsid w:val="00920381"/>
    <w:rsid w:val="0092223C"/>
    <w:rsid w:val="009A1477"/>
    <w:rsid w:val="00BE4F63"/>
    <w:rsid w:val="00C161E8"/>
    <w:rsid w:val="00C7176C"/>
    <w:rsid w:val="00D34BDE"/>
    <w:rsid w:val="00DE5CCA"/>
    <w:rsid w:val="00E658DC"/>
    <w:rsid w:val="00E70D11"/>
    <w:rsid w:val="00F3677E"/>
    <w:rsid w:val="00F41CF9"/>
    <w:rsid w:val="00F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A0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33564B"/>
    <w:pPr>
      <w:spacing w:after="200"/>
    </w:pPr>
    <w:rPr>
      <w:rFonts w:ascii="Times New Roman" w:eastAsiaTheme="minorHAnsi" w:hAnsi="Times New Roman" w:cs="Times New Roman"/>
      <w:b/>
      <w:bCs/>
      <w:color w:val="4F81BD" w:themeColor="accent1"/>
      <w:sz w:val="18"/>
      <w:szCs w:val="1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20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D52B2"/>
  </w:style>
  <w:style w:type="character" w:customStyle="1" w:styleId="FootnoteTextChar">
    <w:name w:val="Footnote Text Char"/>
    <w:basedOn w:val="DefaultParagraphFont"/>
    <w:link w:val="FootnoteText"/>
    <w:uiPriority w:val="99"/>
    <w:rsid w:val="004D52B2"/>
  </w:style>
  <w:style w:type="character" w:styleId="FootnoteReference">
    <w:name w:val="footnote reference"/>
    <w:basedOn w:val="DefaultParagraphFont"/>
    <w:uiPriority w:val="99"/>
    <w:unhideWhenUsed/>
    <w:rsid w:val="004D52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16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33564B"/>
    <w:pPr>
      <w:spacing w:after="200"/>
    </w:pPr>
    <w:rPr>
      <w:rFonts w:ascii="Times New Roman" w:eastAsiaTheme="minorHAnsi" w:hAnsi="Times New Roman" w:cs="Times New Roman"/>
      <w:b/>
      <w:bCs/>
      <w:color w:val="4F81BD" w:themeColor="accent1"/>
      <w:sz w:val="18"/>
      <w:szCs w:val="1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20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D52B2"/>
  </w:style>
  <w:style w:type="character" w:customStyle="1" w:styleId="FootnoteTextChar">
    <w:name w:val="Footnote Text Char"/>
    <w:basedOn w:val="DefaultParagraphFont"/>
    <w:link w:val="FootnoteText"/>
    <w:uiPriority w:val="99"/>
    <w:rsid w:val="004D52B2"/>
  </w:style>
  <w:style w:type="character" w:styleId="FootnoteReference">
    <w:name w:val="footnote reference"/>
    <w:basedOn w:val="DefaultParagraphFont"/>
    <w:uiPriority w:val="99"/>
    <w:unhideWhenUsed/>
    <w:rsid w:val="004D52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1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site/lteencyclopedia/lte-radio-link-budgeting-and-rf-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420</Words>
  <Characters>2400</Characters>
  <Application>Microsoft Macintosh Word</Application>
  <DocSecurity>0</DocSecurity>
  <Lines>20</Lines>
  <Paragraphs>5</Paragraphs>
  <ScaleCrop>false</ScaleCrop>
  <Company>ComSonics, Inc.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Shimp</dc:creator>
  <cp:keywords/>
  <dc:description/>
  <cp:lastModifiedBy>Dick Shimp</cp:lastModifiedBy>
  <cp:revision>8</cp:revision>
  <dcterms:created xsi:type="dcterms:W3CDTF">2015-10-03T14:13:00Z</dcterms:created>
  <dcterms:modified xsi:type="dcterms:W3CDTF">2015-10-06T20:07:00Z</dcterms:modified>
</cp:coreProperties>
</file>