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抖音涨粉策略及建议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抖音平台运营现状</w:t>
      </w:r>
      <w:bookmarkEnd w:id="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38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账号粉丝</w:t>
      </w:r>
      <w:r>
        <w:rPr>
          <w:rFonts w:eastAsia="等线" w:ascii="Arial" w:cs="Arial" w:hAnsi="Arial"/>
          <w:b w:val="true"/>
          <w:sz w:val="32"/>
        </w:rPr>
        <w:t>数据：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当前账号粉丝量4.6万，较8月份刚入职时by day净赠为负的情况来说，已经实现粉丝的by day正向增长。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日更排期的安排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商品视频的创作发布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对于视频内容的优化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近一周，粉丝量增长145，单日增长有所突破，但仍低于50%的同类作者。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当前播放量及完播率优势明显，互动指数因贴文内容不同存在一定差异，总体提升较高但改善空间仍然明显。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账号内容数据：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视频单日账号总播放量日均较前一个月，稳定提升。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目前账号日播放量稳定再30000左右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280"/>
        <w:gridCol w:w="1680"/>
        <w:gridCol w:w="2265"/>
        <w:gridCol w:w="2055"/>
      </w:tblGrid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日期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播放量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日期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播放量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2024-10-06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10096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2024-10-21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32997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2024-10-07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9352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2024-10-22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35336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2024-10-08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6489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2024-10-23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6060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2024-10-09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9441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2024-10-24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16836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2024-10-10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26495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2024-10-25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12464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2024-10-11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25009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2024-10-26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14549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2024-10-12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9116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2024-10-27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11418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2024-10-13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8421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2024-10-28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15361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2024-10-14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10048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2024-10-29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47178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2024-10-15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5978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2024-10-30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30239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2024-10-16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12744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2024-10-31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30189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2024-10-17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5412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2024-11-01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23211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2024-10-18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8069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2024-11-02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35944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2024-10-19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6688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2024-11-03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29693</w:t>
            </w:r>
          </w:p>
        </w:tc>
      </w:tr>
      <w:tr>
        <w:tc>
          <w:tcPr>
            <w:tcW w:w="2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2024-10-20</w:t>
            </w:r>
          </w:p>
        </w:tc>
        <w:tc>
          <w:tcPr>
            <w:tcW w:w="16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17559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2024-11-04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23348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根据当前粉丝数据和画像表现可以寻找内容创作灵感与方向：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重度活跃用户占比大，le群体相关题材仍然应在内容中保持一定比重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有必要调动“中度”、“轻度”粉丝群体在评论互动中的参与度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粉丝关注热词中，“le标签”明显“日常标签”明显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粉丝兴趣分布中，“随拍”占比大，“日常”“明星”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粉丝地域和年龄较为集中，年轻化，一线新一线趋势明显。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578"/>
        <w:gridCol w:w="5701"/>
      </w:tblGrid>
      <w:tr>
        <w:tc>
          <w:tcPr>
            <w:tcW w:w="2578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476375" cy="1362075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3467100" cy="142875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620"/>
        <w:gridCol w:w="5659"/>
      </w:tblGrid>
      <w:tr>
        <w:tc>
          <w:tcPr>
            <w:tcW w:w="26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504950" cy="129540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3438525" cy="135255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涨粉方式调研及策略建议</w:t>
      </w:r>
      <w:bookmarkEnd w:id="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一、账号内容差异化——给出观众</w:t>
      </w:r>
      <w:r>
        <w:rPr>
          <w:rFonts w:eastAsia="等线" w:ascii="Arial" w:cs="Arial" w:hAnsi="Arial"/>
          <w:b w:val="true"/>
          <w:sz w:val="30"/>
        </w:rPr>
        <w:t>关注的理由</w:t>
      </w:r>
      <w:bookmarkEnd w:id="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明确账号定位及账号装修：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账号定位分为：变现定位、内容定位、人设定位。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内容定位：根据个人兴趣和擅长的领域，结合目标受众的需求，选择适合的内容方向，如知识分享、兴趣爱好等。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使用关键词：在简介中使用与内容相关的关键词，有助于提高搜索排名，让更多感兴趣的人找到你。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3"/>
              <w:spacing w:before="300" w:after="120" w:line="288" w:lineRule="auto"/>
              <w:ind w:left="0"/>
              <w:jc w:val="left"/>
              <w:outlineLvl w:val="2"/>
            </w:pPr>
            <w:bookmarkStart w:name="heading_6" w:id="6"/>
            <w:r>
              <w:rPr>
                <w:rFonts w:eastAsia="等线" w:ascii="Arial" w:cs="Arial" w:hAnsi="Arial"/>
                <w:b w:val="true"/>
                <w:sz w:val="30"/>
                <w:shd w:fill="fff67a"/>
              </w:rPr>
              <w:t>告诉他们你是谁？——你要做什么？</w:t>
            </w:r>
            <w:r>
              <w:rPr>
                <w:rFonts w:eastAsia="等线" w:ascii="Arial" w:cs="Arial" w:hAnsi="Arial"/>
                <w:b w:val="true"/>
                <w:color w:val="6425d0"/>
                <w:sz w:val="30"/>
                <w:shd w:fill="fff67a"/>
              </w:rPr>
              <w:t>——你和别人有什么不同？</w:t>
            </w:r>
            <w:bookmarkEnd w:id="6"/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  <w:shd w:fill="f76964"/>
        </w:rPr>
        <w:t>账号内容差异化及策略建议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抖音——3秒定“生死”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核心指标：点赞率、评论率、完播率。 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“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  <w:u w:val="single"/>
              </w:rPr>
              <w:t>通用标准如下”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完播率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：了解用户是否愿意观看完整内容。</w:t>
            </w:r>
            <w:r>
              <w:rPr>
                <w:rFonts w:eastAsia="等线" w:ascii="Arial" w:cs="Arial" w:hAnsi="Arial"/>
                <w:color w:val="646a73"/>
                <w:sz w:val="22"/>
                <w:u w:val="single"/>
              </w:rPr>
              <w:t>完播率达到30%以上，会更容易进入大流量池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点赞率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：视频内容是否引发观众共鸣。</w:t>
            </w:r>
            <w:r>
              <w:rPr>
                <w:rFonts w:eastAsia="等线" w:ascii="Arial" w:cs="Arial" w:hAnsi="Arial"/>
                <w:color w:val="646a73"/>
                <w:sz w:val="22"/>
                <w:u w:val="single"/>
              </w:rPr>
              <w:t>点赞率达到3%以上，就属于优质视频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评论率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：用户的参与度如何。</w:t>
            </w:r>
            <w:r>
              <w:rPr>
                <w:rFonts w:eastAsia="等线" w:ascii="Arial" w:cs="Arial" w:hAnsi="Arial"/>
                <w:color w:val="646a73"/>
                <w:sz w:val="22"/>
                <w:u w:val="single"/>
              </w:rPr>
              <w:t>评论率达到0.5% 以上，就属于潜力视频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u w:val="single"/>
          <w:shd w:fill="fff67a"/>
        </w:rPr>
        <w:t>平台是综合评判数据的，并非某一项很高就一定会推流。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内容评判标准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用户角度：视频需要有强故事性、内容通俗易懂、容易理解，画面观感在及格线以上。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平台角度：内容不能有同质化，价值导向要正确、最重要的是，让观众</w:t>
            </w:r>
            <w:r>
              <w:rPr>
                <w:rFonts w:eastAsia="等线" w:ascii="Arial" w:cs="Arial" w:hAnsi="Arial"/>
                <w:b w:val="true"/>
                <w:color w:val="646a73"/>
                <w:sz w:val="22"/>
                <w:shd w:fill="fff67a"/>
              </w:rPr>
              <w:t>看视频的时间尽可能的长。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color w:val="d83931"/>
          <w:sz w:val="32"/>
        </w:rPr>
        <w:t xml:space="preserve">涨粉导向内容优化策略建议：                                              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【保持原有内容调性的情况下，适当增加创意性内容】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内容：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差异化的内容设置，提炼品牌热点。</w:t>
      </w:r>
      <w:r>
        <w:rPr>
          <w:rFonts w:eastAsia="等线" w:ascii="Arial" w:cs="Arial" w:hAnsi="Arial"/>
          <w:color w:val="245bdb"/>
          <w:sz w:val="22"/>
        </w:rPr>
        <w:t>——新品上新；品牌活动；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提升账号活力，增加账号“活人感”，人物互动增加  </w:t>
      </w:r>
      <w:r>
        <w:rPr>
          <w:rFonts w:eastAsia="等线" w:ascii="Arial" w:cs="Arial" w:hAnsi="Arial"/>
          <w:color w:val="245bdb"/>
          <w:sz w:val="22"/>
        </w:rPr>
        <w:t>——直播切片/人物形象链接。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迎合潜在粉丝喜好：针对目标涨粉群体进行增加迎合潜在粉丝关注和倾向的</w:t>
      </w:r>
      <w:r>
        <w:rPr>
          <w:rFonts w:eastAsia="等线" w:ascii="Arial" w:cs="Arial" w:hAnsi="Arial"/>
          <w:color w:val="245bdb"/>
          <w:sz w:val="22"/>
        </w:rPr>
        <w:t>年轻化内容</w:t>
      </w:r>
      <w:r>
        <w:rPr>
          <w:rFonts w:eastAsia="等线" w:ascii="Arial" w:cs="Arial" w:hAnsi="Arial"/>
          <w:sz w:val="22"/>
        </w:rPr>
        <w:t>、塑造物料“小编感”。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紧跟时段热点：利用热门话题：“passion付航”“向佐向右向前看”“抽象”、节日或事件创作相关内容，通过</w:t>
      </w:r>
      <w:r>
        <w:rPr>
          <w:rFonts w:eastAsia="等线" w:ascii="Arial" w:cs="Arial" w:hAnsi="Arial"/>
          <w:color w:val="245bdb"/>
          <w:sz w:val="22"/>
        </w:rPr>
        <w:t>“传播场域破圈”，提高可见度。</w:t>
      </w:r>
      <w:r>
        <w:rPr>
          <w:rFonts w:eastAsia="等线" w:ascii="Arial" w:cs="Arial" w:hAnsi="Arial"/>
          <w:sz w:val="22"/>
        </w:rPr>
        <w:t>可整理月度表格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故事化表达：寻找系列视频中制作方向，用故事讲述方式呈现内容（萨福故事/工厂），增加情感共鸣。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价值输出：无论是知识分享、技能教学还是心灵鸡汤确保，每个视频都能给观众带来价值。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制作：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创新视频创作形式：不断尝试新的拍摄手法、剪辑技巧或特效，保持内容的新鲜感。</w:t>
      </w:r>
      <w:r>
        <w:rPr>
          <w:rFonts w:eastAsia="等线" w:ascii="Arial" w:cs="Arial" w:hAnsi="Arial"/>
          <w:color w:val="245bdb"/>
          <w:sz w:val="22"/>
        </w:rPr>
        <w:t>ai制作和剪辑的视频近期数据表现最好。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标题和封面：一个吸引人的标题和封面是提高点击率的关键。标题应简洁明了，不能只做诗意表达，需要包含关键词，同时留有悬念或直接点明视频亮点；封面图则需清晰、美观，最好能一眼看出视频主题，激发用户的好奇心。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视频剪辑节奏可能会有反常识的认知，关注1秒跳出率，增加视频亮点在开头的比例，短视频中不断设置悬念。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20"/>
        <w:gridCol w:w="1875"/>
        <w:gridCol w:w="2055"/>
        <w:gridCol w:w="3645"/>
      </w:tblGrid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时间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平台热点/时段热点/品牌热点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标签/相关话题内容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可联想标题——视频形式创意内容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2024/上半年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猫meme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#猫meme 用猫meme形式讲述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2024/10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脱口秀女性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#女脱口秀演员上桌了#上桌吃饭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“女性既要能够上桌吃饭，也要好好上床睡觉”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passion；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#付航passion#passion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“人生需要passion，爱爱也是”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向佐抽象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#向佐向右向前看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“向佐向右向前看，还是萨福最好看”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再见爱人4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#麦学#杨子#再见爱人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“用萨福，好好爱，不再见”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秋天 秋季 捡秋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#秋天#捡秋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“”秋天的第一盒萨福”“捡秋捡到萨福”（萨福+落叶+秋天元素创意拍摄视频）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双11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#双11#购物#疯狂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“萨福双11，不绕弯子够直接”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#金秋出游季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#金秋出游季#出游#秋天出游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”金秋出游，就带萨福旅行装"(出游场景下，收拾行李画面，出游画面等画面)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2024/11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签约嘉定出席妇女代表大会萨福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#妇联#生物医药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“关爱妇女，萨福行动”（参会vlog）</w:t>
            </w:r>
          </w:p>
        </w:tc>
      </w:tr>
      <w:tr>
        <w:tc>
          <w:tcPr>
            <w:tcW w:w="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..</w:t>
            </w:r>
          </w:p>
        </w:tc>
        <w:tc>
          <w:tcPr>
            <w:tcW w:w="18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..</w:t>
            </w:r>
          </w:p>
        </w:tc>
        <w:tc>
          <w:tcPr>
            <w:tcW w:w="20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..</w:t>
            </w:r>
          </w:p>
        </w:tc>
        <w:tc>
          <w:tcPr>
            <w:tcW w:w="36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..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ed4a4"/>
        </w:rPr>
        <w:t>重点引粉关注点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强故事性</w:t>
      </w:r>
      <w:r>
        <w:rPr>
          <w:rFonts w:eastAsia="等线" w:ascii="Arial" w:cs="Arial" w:hAnsi="Arial"/>
          <w:sz w:val="22"/>
        </w:rPr>
        <w:t>：一个好的故事能够激发用户的情感，吸引他们的持续关注。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内容价值</w:t>
      </w:r>
      <w:r>
        <w:rPr>
          <w:rFonts w:eastAsia="等线" w:ascii="Arial" w:cs="Arial" w:hAnsi="Arial"/>
          <w:sz w:val="22"/>
        </w:rPr>
        <w:t>：无论是娱乐信息还是实用技巧，确保内容具有一定的价值，能够解决用户的痛点。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情绪共鸣</w:t>
      </w:r>
      <w:r>
        <w:rPr>
          <w:rFonts w:eastAsia="等线" w:ascii="Arial" w:cs="Arial" w:hAnsi="Arial"/>
          <w:sz w:val="22"/>
        </w:rPr>
        <w:t>：视频内容能否引起观众的情感反馈，直接影响其分享与点赞。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4"/>
              <w:spacing w:before="260" w:after="120" w:line="288" w:lineRule="auto"/>
              <w:ind w:left="0"/>
              <w:jc w:val="left"/>
              <w:outlineLvl w:val="3"/>
            </w:pPr>
            <w:bookmarkStart w:name="heading_9" w:id="9"/>
            <w:r>
              <w:rPr>
                <w:rFonts w:eastAsia="等线" w:ascii="Arial" w:cs="Arial" w:hAnsi="Arial"/>
                <w:b w:val="true"/>
                <w:sz w:val="28"/>
              </w:rPr>
              <w:t>爆款原则：</w:t>
            </w:r>
            <w:bookmarkEnd w:id="9"/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说大白话：不用脑子思考就能理解，抖音作为娱乐平台，内容有必要给观众嗲来放松。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明确刺激：是指视频里不断有未知的惊喜刺激观众，让观众不断看下去。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情绪共鸣：就是引起的情绪上相似的反应，带动情绪。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内容价值：氛围消磨时间、丰富谈资、情感寄托等，或者教育买课属于利益价值。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真实靠谱：是说在人物、场景、语言的设计上，不去做刻意的设计，真诚传递最重要。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多蹭热点：很好理解，就是简单到极致的爆款捷径。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二、平台流量逻辑角度——涨粉要先找粉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平台的流量推荐逻辑可以参考四个方面，所有的内容都是规则之下的产物。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抖音算法对我们影响较大的有，流量池算法、用户兴趣算法、用户协同算法，热门标签算法。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流量池算法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：新账号会获得初始测试流量，平台会根据用户的互动情况逐步提升推送流量。抖音一开始会给你，100到500的测试流量，它会根据这个流量池的用户行为，决定是否给你推荐下一个流量池，比如1000-3000，流量池的层级有很多，过亿播放基本就到头了。</w:t>
            </w: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用户兴趣算法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：抖音将分析用户的观看习惯，向他们推荐类似内容。它会推送类似的视频给你，让你越看越上瘾，不知不觉一天时间就过去了。</w:t>
            </w:r>
          </w:p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用户协同算法：</w:t>
            </w:r>
            <w:r>
              <w:rPr>
                <w:rFonts w:eastAsia="等线" w:ascii="Arial" w:cs="Arial" w:hAnsi="Arial"/>
                <w:color w:val="646a73"/>
                <w:sz w:val="22"/>
              </w:rPr>
              <w:t>就是当我们两个在后台的，标签喜好差不多时，抖音就会猜测，我喜欢的其他内容，你也可能喜欢。</w:t>
            </w:r>
          </w:p>
          <w:p>
            <w:pPr>
              <w:numPr>
                <w:numId w:val="3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646a73"/>
                <w:sz w:val="22"/>
              </w:rPr>
              <w:t>热门标签算法</w:t>
            </w:r>
            <w:r>
              <w:rPr>
                <w:rFonts w:eastAsia="等线" w:ascii="Arial" w:cs="Arial" w:hAnsi="Arial"/>
                <w:color w:val="646a73"/>
                <w:sz w:val="22"/>
              </w:rPr>
              <w:t>：与用户的观看标签无关，依然有可能推送热门视频，利于破圈。跟你的标签状态无关，你从来没有点赞过做饭的视频，它也会推送百万做饭视频给你看，因为喜欢的人太多了。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2"/>
              <w:spacing w:before="320" w:after="120" w:line="288" w:lineRule="auto"/>
              <w:ind w:left="0"/>
              <w:jc w:val="left"/>
              <w:outlineLvl w:val="1"/>
            </w:pPr>
            <w:bookmarkStart w:name="heading_11" w:id="11"/>
            <w:r>
              <w:rPr>
                <w:rFonts w:eastAsia="等线" w:ascii="Arial" w:cs="Arial" w:hAnsi="Arial"/>
                <w:b w:val="true"/>
                <w:color w:val="6425d0"/>
                <w:sz w:val="32"/>
              </w:rPr>
              <w:t xml:space="preserve">                            “用数量去对抗算法的不确定性”</w:t>
            </w:r>
            <w:bookmarkEnd w:id="11"/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1.做自然流：案例、预算、迭代。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案例：</w:t>
      </w:r>
      <w:r>
        <w:rPr>
          <w:rFonts w:eastAsia="等线" w:ascii="Arial" w:cs="Arial" w:hAnsi="Arial"/>
          <w:sz w:val="22"/>
        </w:rPr>
        <w:t>不能闭门造车，搜索行业/其他相关账号的关键词，只要有同行在抖音播放量高的题材或者形式，或者自己账号之前做过的数据好的形式</w:t>
      </w:r>
      <w:r>
        <w:rPr>
          <w:rFonts w:eastAsia="等线" w:ascii="Arial" w:cs="Arial" w:hAnsi="Arial"/>
          <w:b w:val="true"/>
          <w:sz w:val="22"/>
        </w:rPr>
        <w:t>——</w:t>
      </w:r>
      <w:r>
        <w:rPr>
          <w:rFonts w:eastAsia="等线" w:ascii="Arial" w:cs="Arial" w:hAnsi="Arial"/>
          <w:b w:val="true"/>
          <w:sz w:val="22"/>
          <w:shd w:fill="fff67a"/>
        </w:rPr>
        <w:t xml:space="preserve">复制，迭代。  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 xml:space="preserve"> </w:t>
      </w:r>
      <w:r>
        <w:rPr>
          <w:rFonts w:eastAsia="等线" w:ascii="Arial" w:cs="Arial" w:hAnsi="Arial"/>
          <w:b w:val="true"/>
          <w:color w:val="d83931"/>
          <w:sz w:val="22"/>
          <w:shd w:fill="fff67a"/>
        </w:rPr>
        <w:t>当前“产品视频的策略”就是来源于在最开始的调研中发现最开始的产品视频表现突出。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预算：</w:t>
      </w:r>
      <w:r>
        <w:rPr>
          <w:rFonts w:eastAsia="等线" w:ascii="Arial" w:cs="Arial" w:hAnsi="Arial"/>
          <w:sz w:val="22"/>
        </w:rPr>
        <w:t>一方面是选题的“储备”；一方面是投放的预算。</w:t>
      </w:r>
      <w:r>
        <w:rPr>
          <w:rFonts w:eastAsia="等线" w:ascii="Arial" w:cs="Arial" w:hAnsi="Arial"/>
          <w:b w:val="true"/>
          <w:sz w:val="22"/>
        </w:rPr>
        <w:t>——月度或者随时的热点追逐汇总，在原有排期的基础上增加热点选题题材的内容。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迭代：</w:t>
      </w:r>
      <w:r>
        <w:rPr>
          <w:rFonts w:eastAsia="等线" w:ascii="Arial" w:cs="Arial" w:hAnsi="Arial"/>
          <w:sz w:val="22"/>
        </w:rPr>
        <w:t>优化内容需要尝试、热点会不断更新。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3" w:id="13"/>
      <w:r>
        <w:rPr>
          <w:rFonts w:eastAsia="等线" w:ascii="Arial" w:cs="Arial" w:hAnsi="Arial"/>
          <w:b w:val="true"/>
          <w:sz w:val="28"/>
        </w:rPr>
        <w:t>2.投放付费：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投粉丝数：</w:t>
      </w:r>
      <w:r>
        <w:rPr>
          <w:rFonts w:eastAsia="等线" w:ascii="Arial" w:cs="Arial" w:hAnsi="Arial"/>
          <w:sz w:val="22"/>
        </w:rPr>
        <w:t>投粉丝数，拥有基础粉丝，才有基础播放。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f67a"/>
        </w:rPr>
        <w:t>投点赞评论：有机会</w:t>
      </w:r>
      <w:r>
        <w:rPr>
          <w:rFonts w:eastAsia="等线" w:ascii="Arial" w:cs="Arial" w:hAnsi="Arial"/>
          <w:sz w:val="22"/>
          <w:shd w:fill="fff67a"/>
        </w:rPr>
        <w:t>撬动更大的流量，参与平台二次赛马——性价比选择</w:t>
      </w:r>
    </w:p>
    <w:p>
      <w:pPr>
        <w:spacing w:before="120" w:after="120" w:line="288" w:lineRule="auto"/>
        <w:ind w:left="0"/>
        <w:jc w:val="center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4" w:id="14"/>
      <w:r>
        <w:rPr>
          <w:rFonts w:eastAsia="等线" w:ascii="Arial" w:cs="Arial" w:hAnsi="Arial"/>
          <w:b w:val="true"/>
          <w:sz w:val="28"/>
        </w:rPr>
        <w:t>3.更新节奏与投放时间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发布时观察同时的时间，根据情况灵活调整，行业竞争大就错峰发布，行业固定可以直接冲热门时段。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暂时相关行业没有特别明显的热门时段。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贴文发布避免过度挤压：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f67a"/>
        </w:rPr>
        <w:t>晚7-9点前两个小时（下班或休息的，前2小时发布为宜）。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晚7-9发布，可以尝试，当前数据挤压状况仍然存在，bycase分析视频竞争力进行发布。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242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早晨临近中午时段，可以尝试，目前图文数据问题较明显，可以尝试在白天发布。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投放加热：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贴文发布2小时内，进行数据观测，数据受阻或者感受挤压后，有必要可进行DOU+投放。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三、增强互动与社群建设—— 塑造“活人感“</w:t>
      </w:r>
      <w:bookmarkEnd w:id="15"/>
    </w:p>
    <w:p>
      <w:pPr>
        <w:spacing w:before="120" w:after="120" w:line="288" w:lineRule="auto"/>
        <w:ind w:left="0"/>
        <w:jc w:val="left"/>
      </w:pP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积极回应评论：及时回复粉丝的评论和私信，建立良好的互动关系，增强粉丝的归属感，鼓励他们更加积极地参与互动。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发起互动活动：通过抽奖、问答等互动活动，增加粉丝的参与感和粘性。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粉丝社群宣传增流：在各平台粉丝群中分享抖音作品，吸引更多潜在粉丝。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跨平台推广：在微博等平台发表带有抖音水印的抖音作品，跨平台引流。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平台贴文活动：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a.新品上新/日常帖文中，粉丝量突破某个数量进行抽奖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b.贴文下方关注＋评论抽奖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3723">
    <w:lvl>
      <w:numFmt w:val="bullet"/>
      <w:suff w:val="tab"/>
      <w:lvlText w:val="•"/>
      <w:rPr>
        <w:color w:val="3370ff"/>
      </w:rPr>
    </w:lvl>
  </w:abstractNum>
  <w:abstractNum w:abstractNumId="23724">
    <w:lvl>
      <w:numFmt w:val="bullet"/>
      <w:suff w:val="tab"/>
      <w:lvlText w:val="•"/>
      <w:rPr>
        <w:color w:val="3370ff"/>
      </w:rPr>
    </w:lvl>
  </w:abstractNum>
  <w:abstractNum w:abstractNumId="23725">
    <w:lvl>
      <w:numFmt w:val="bullet"/>
      <w:suff w:val="tab"/>
      <w:lvlText w:val="•"/>
      <w:rPr>
        <w:color w:val="3370ff"/>
      </w:rPr>
    </w:lvl>
  </w:abstractNum>
  <w:abstractNum w:abstractNumId="23726">
    <w:lvl>
      <w:numFmt w:val="bullet"/>
      <w:suff w:val="tab"/>
      <w:lvlText w:val="•"/>
      <w:rPr>
        <w:color w:val="3370ff"/>
      </w:rPr>
    </w:lvl>
  </w:abstractNum>
  <w:abstractNum w:abstractNumId="23727">
    <w:lvl>
      <w:numFmt w:val="bullet"/>
      <w:suff w:val="tab"/>
      <w:lvlText w:val="•"/>
      <w:rPr>
        <w:color w:val="3370ff"/>
      </w:rPr>
    </w:lvl>
  </w:abstractNum>
  <w:abstractNum w:abstractNumId="23728">
    <w:lvl>
      <w:numFmt w:val="bullet"/>
      <w:suff w:val="tab"/>
      <w:lvlText w:val="•"/>
      <w:rPr>
        <w:color w:val="3370ff"/>
      </w:rPr>
    </w:lvl>
  </w:abstractNum>
  <w:abstractNum w:abstractNumId="23729">
    <w:lvl>
      <w:numFmt w:val="bullet"/>
      <w:suff w:val="tab"/>
      <w:lvlText w:val="•"/>
      <w:rPr>
        <w:color w:val="3370ff"/>
      </w:rPr>
    </w:lvl>
  </w:abstractNum>
  <w:abstractNum w:abstractNumId="23730">
    <w:lvl>
      <w:numFmt w:val="bullet"/>
      <w:suff w:val="tab"/>
      <w:lvlText w:val="•"/>
      <w:rPr>
        <w:color w:val="3370ff"/>
      </w:rPr>
    </w:lvl>
  </w:abstractNum>
  <w:abstractNum w:abstractNumId="23731">
    <w:lvl>
      <w:start w:val="1"/>
      <w:numFmt w:val="decimal"/>
      <w:suff w:val="tab"/>
      <w:lvlText w:val="%1."/>
      <w:rPr>
        <w:color w:val="3370ff"/>
      </w:rPr>
    </w:lvl>
  </w:abstractNum>
  <w:abstractNum w:abstractNumId="23732">
    <w:lvl>
      <w:start w:val="2"/>
      <w:numFmt w:val="decimal"/>
      <w:suff w:val="tab"/>
      <w:lvlText w:val="%1."/>
      <w:rPr>
        <w:color w:val="3370ff"/>
      </w:rPr>
    </w:lvl>
  </w:abstractNum>
  <w:abstractNum w:abstractNumId="23733">
    <w:lvl>
      <w:numFmt w:val="bullet"/>
      <w:suff w:val="tab"/>
      <w:lvlText w:val="•"/>
      <w:rPr>
        <w:color w:val="3370ff"/>
      </w:rPr>
    </w:lvl>
  </w:abstractNum>
  <w:abstractNum w:abstractNumId="23734">
    <w:lvl>
      <w:numFmt w:val="bullet"/>
      <w:suff w:val="tab"/>
      <w:lvlText w:val="•"/>
      <w:rPr>
        <w:color w:val="3370ff"/>
      </w:rPr>
    </w:lvl>
  </w:abstractNum>
  <w:abstractNum w:abstractNumId="23735">
    <w:lvl>
      <w:numFmt w:val="bullet"/>
      <w:suff w:val="tab"/>
      <w:lvlText w:val="•"/>
      <w:rPr>
        <w:color w:val="3370ff"/>
      </w:rPr>
    </w:lvl>
  </w:abstractNum>
  <w:abstractNum w:abstractNumId="23736">
    <w:lvl>
      <w:numFmt w:val="bullet"/>
      <w:suff w:val="tab"/>
      <w:lvlText w:val="•"/>
      <w:rPr>
        <w:color w:val="3370ff"/>
      </w:rPr>
    </w:lvl>
  </w:abstractNum>
  <w:abstractNum w:abstractNumId="23737">
    <w:lvl>
      <w:start w:val="1"/>
      <w:numFmt w:val="decimal"/>
      <w:suff w:val="tab"/>
      <w:lvlText w:val="%1."/>
      <w:rPr>
        <w:color w:val="3370ff"/>
      </w:rPr>
    </w:lvl>
  </w:abstractNum>
  <w:abstractNum w:abstractNumId="23738">
    <w:lvl>
      <w:start w:val="2"/>
      <w:numFmt w:val="decimal"/>
      <w:suff w:val="tab"/>
      <w:lvlText w:val="%1."/>
      <w:rPr>
        <w:color w:val="3370ff"/>
      </w:rPr>
    </w:lvl>
  </w:abstractNum>
  <w:abstractNum w:abstractNumId="23739">
    <w:lvl>
      <w:start w:val="3"/>
      <w:numFmt w:val="decimal"/>
      <w:suff w:val="tab"/>
      <w:lvlText w:val="%1."/>
      <w:rPr>
        <w:color w:val="3370ff"/>
      </w:rPr>
    </w:lvl>
  </w:abstractNum>
  <w:abstractNum w:abstractNumId="23740">
    <w:lvl>
      <w:start w:val="4"/>
      <w:numFmt w:val="decimal"/>
      <w:suff w:val="tab"/>
      <w:lvlText w:val="%1."/>
      <w:rPr>
        <w:color w:val="3370ff"/>
      </w:rPr>
    </w:lvl>
  </w:abstractNum>
  <w:abstractNum w:abstractNumId="23741">
    <w:lvl>
      <w:start w:val="5"/>
      <w:numFmt w:val="decimal"/>
      <w:suff w:val="tab"/>
      <w:lvlText w:val="%1."/>
      <w:rPr>
        <w:color w:val="3370ff"/>
      </w:rPr>
    </w:lvl>
  </w:abstractNum>
  <w:abstractNum w:abstractNumId="23742">
    <w:lvl>
      <w:start w:val="6"/>
      <w:numFmt w:val="decimal"/>
      <w:suff w:val="tab"/>
      <w:lvlText w:val="%1."/>
      <w:rPr>
        <w:color w:val="3370ff"/>
      </w:rPr>
    </w:lvl>
  </w:abstractNum>
  <w:abstractNum w:abstractNumId="23743">
    <w:lvl>
      <w:start w:val="1"/>
      <w:numFmt w:val="decimal"/>
      <w:suff w:val="tab"/>
      <w:lvlText w:val="%1."/>
      <w:rPr>
        <w:color w:val="3370ff"/>
      </w:rPr>
    </w:lvl>
  </w:abstractNum>
  <w:abstractNum w:abstractNumId="23744">
    <w:lvl>
      <w:start w:val="2"/>
      <w:numFmt w:val="decimal"/>
      <w:suff w:val="tab"/>
      <w:lvlText w:val="%1."/>
      <w:rPr>
        <w:color w:val="3370ff"/>
      </w:rPr>
    </w:lvl>
  </w:abstractNum>
  <w:abstractNum w:abstractNumId="23745">
    <w:lvl>
      <w:start w:val="3"/>
      <w:numFmt w:val="decimal"/>
      <w:suff w:val="tab"/>
      <w:lvlText w:val="%1."/>
      <w:rPr>
        <w:color w:val="3370ff"/>
      </w:rPr>
    </w:lvl>
  </w:abstractNum>
  <w:abstractNum w:abstractNumId="23746">
    <w:lvl>
      <w:start w:val="1"/>
      <w:numFmt w:val="decimal"/>
      <w:suff w:val="tab"/>
      <w:lvlText w:val="%1."/>
      <w:rPr>
        <w:color w:val="3370ff"/>
      </w:rPr>
    </w:lvl>
  </w:abstractNum>
  <w:abstractNum w:abstractNumId="23747">
    <w:lvl>
      <w:start w:val="2"/>
      <w:numFmt w:val="decimal"/>
      <w:suff w:val="tab"/>
      <w:lvlText w:val="%1."/>
      <w:rPr>
        <w:color w:val="3370ff"/>
      </w:rPr>
    </w:lvl>
  </w:abstractNum>
  <w:abstractNum w:abstractNumId="23748">
    <w:lvl>
      <w:start w:val="3"/>
      <w:numFmt w:val="decimal"/>
      <w:suff w:val="tab"/>
      <w:lvlText w:val="%1."/>
      <w:rPr>
        <w:color w:val="3370ff"/>
      </w:rPr>
    </w:lvl>
  </w:abstractNum>
  <w:abstractNum w:abstractNumId="23749">
    <w:lvl>
      <w:start w:val="1"/>
      <w:numFmt w:val="decimal"/>
      <w:suff w:val="tab"/>
      <w:lvlText w:val="%1."/>
      <w:rPr>
        <w:color w:val="3370ff"/>
      </w:rPr>
    </w:lvl>
  </w:abstractNum>
  <w:abstractNum w:abstractNumId="23750">
    <w:lvl>
      <w:start w:val="2"/>
      <w:numFmt w:val="decimal"/>
      <w:suff w:val="tab"/>
      <w:lvlText w:val="%1."/>
      <w:rPr>
        <w:color w:val="3370ff"/>
      </w:rPr>
    </w:lvl>
  </w:abstractNum>
  <w:abstractNum w:abstractNumId="23751">
    <w:lvl>
      <w:start w:val="3"/>
      <w:numFmt w:val="decimal"/>
      <w:suff w:val="tab"/>
      <w:lvlText w:val="%1."/>
      <w:rPr>
        <w:color w:val="3370ff"/>
      </w:rPr>
    </w:lvl>
  </w:abstractNum>
  <w:abstractNum w:abstractNumId="23752">
    <w:lvl>
      <w:start w:val="4"/>
      <w:numFmt w:val="decimal"/>
      <w:suff w:val="tab"/>
      <w:lvlText w:val="%1."/>
      <w:rPr>
        <w:color w:val="3370ff"/>
      </w:rPr>
    </w:lvl>
  </w:abstractNum>
  <w:abstractNum w:abstractNumId="23753">
    <w:lvl>
      <w:start w:val="1"/>
      <w:numFmt w:val="decimal"/>
      <w:suff w:val="tab"/>
      <w:lvlText w:val="%1."/>
      <w:rPr>
        <w:color w:val="3370ff"/>
      </w:rPr>
    </w:lvl>
  </w:abstractNum>
  <w:abstractNum w:abstractNumId="23754">
    <w:lvl>
      <w:start w:val="2"/>
      <w:numFmt w:val="decimal"/>
      <w:suff w:val="tab"/>
      <w:lvlText w:val="%1."/>
      <w:rPr>
        <w:color w:val="3370ff"/>
      </w:rPr>
    </w:lvl>
  </w:abstractNum>
  <w:abstractNum w:abstractNumId="23755">
    <w:lvl>
      <w:start w:val="3"/>
      <w:numFmt w:val="decimal"/>
      <w:suff w:val="tab"/>
      <w:lvlText w:val="%1."/>
      <w:rPr>
        <w:color w:val="3370ff"/>
      </w:rPr>
    </w:lvl>
  </w:abstractNum>
  <w:abstractNum w:abstractNumId="23756">
    <w:lvl>
      <w:start w:val="1"/>
      <w:numFmt w:val="decimal"/>
      <w:suff w:val="tab"/>
      <w:lvlText w:val="%1."/>
      <w:rPr>
        <w:color w:val="3370ff"/>
      </w:rPr>
    </w:lvl>
  </w:abstractNum>
  <w:abstractNum w:abstractNumId="23757">
    <w:lvl>
      <w:start w:val="2"/>
      <w:numFmt w:val="decimal"/>
      <w:suff w:val="tab"/>
      <w:lvlText w:val="%1."/>
      <w:rPr>
        <w:color w:val="3370ff"/>
      </w:rPr>
    </w:lvl>
  </w:abstractNum>
  <w:abstractNum w:abstractNumId="23758">
    <w:lvl>
      <w:start w:val="3"/>
      <w:numFmt w:val="decimal"/>
      <w:suff w:val="tab"/>
      <w:lvlText w:val="%1."/>
      <w:rPr>
        <w:color w:val="3370ff"/>
      </w:rPr>
    </w:lvl>
  </w:abstractNum>
  <w:abstractNum w:abstractNumId="23759">
    <w:lvl>
      <w:start w:val="4"/>
      <w:numFmt w:val="decimal"/>
      <w:suff w:val="tab"/>
      <w:lvlText w:val="%1."/>
      <w:rPr>
        <w:color w:val="3370ff"/>
      </w:rPr>
    </w:lvl>
  </w:abstractNum>
  <w:abstractNum w:abstractNumId="23760">
    <w:lvl>
      <w:start w:val="5"/>
      <w:numFmt w:val="decimal"/>
      <w:suff w:val="tab"/>
      <w:lvlText w:val="%1."/>
      <w:rPr>
        <w:color w:val="3370ff"/>
      </w:rPr>
    </w:lvl>
  </w:abstractNum>
  <w:num w:numId="1">
    <w:abstractNumId w:val="23723"/>
  </w:num>
  <w:num w:numId="2">
    <w:abstractNumId w:val="23724"/>
  </w:num>
  <w:num w:numId="3">
    <w:abstractNumId w:val="23725"/>
  </w:num>
  <w:num w:numId="4">
    <w:abstractNumId w:val="23726"/>
  </w:num>
  <w:num w:numId="5">
    <w:abstractNumId w:val="23727"/>
  </w:num>
  <w:num w:numId="6">
    <w:abstractNumId w:val="23728"/>
  </w:num>
  <w:num w:numId="7">
    <w:abstractNumId w:val="23729"/>
  </w:num>
  <w:num w:numId="8">
    <w:abstractNumId w:val="23730"/>
  </w:num>
  <w:num w:numId="9">
    <w:abstractNumId w:val="23731"/>
  </w:num>
  <w:num w:numId="10">
    <w:abstractNumId w:val="23732"/>
  </w:num>
  <w:num w:numId="11">
    <w:abstractNumId w:val="23733"/>
  </w:num>
  <w:num w:numId="12">
    <w:abstractNumId w:val="23734"/>
  </w:num>
  <w:num w:numId="13">
    <w:abstractNumId w:val="23735"/>
  </w:num>
  <w:num w:numId="14">
    <w:abstractNumId w:val="23736"/>
  </w:num>
  <w:num w:numId="15">
    <w:abstractNumId w:val="23737"/>
  </w:num>
  <w:num w:numId="16">
    <w:abstractNumId w:val="23738"/>
  </w:num>
  <w:num w:numId="17">
    <w:abstractNumId w:val="23739"/>
  </w:num>
  <w:num w:numId="18">
    <w:abstractNumId w:val="23740"/>
  </w:num>
  <w:num w:numId="19">
    <w:abstractNumId w:val="23741"/>
  </w:num>
  <w:num w:numId="20">
    <w:abstractNumId w:val="23742"/>
  </w:num>
  <w:num w:numId="21">
    <w:abstractNumId w:val="23743"/>
  </w:num>
  <w:num w:numId="22">
    <w:abstractNumId w:val="23744"/>
  </w:num>
  <w:num w:numId="23">
    <w:abstractNumId w:val="23745"/>
  </w:num>
  <w:num w:numId="24">
    <w:abstractNumId w:val="23746"/>
  </w:num>
  <w:num w:numId="25">
    <w:abstractNumId w:val="23747"/>
  </w:num>
  <w:num w:numId="26">
    <w:abstractNumId w:val="23748"/>
  </w:num>
  <w:num w:numId="27">
    <w:abstractNumId w:val="23749"/>
  </w:num>
  <w:num w:numId="28">
    <w:abstractNumId w:val="23750"/>
  </w:num>
  <w:num w:numId="29">
    <w:abstractNumId w:val="23751"/>
  </w:num>
  <w:num w:numId="30">
    <w:abstractNumId w:val="23752"/>
  </w:num>
  <w:num w:numId="31">
    <w:abstractNumId w:val="23753"/>
  </w:num>
  <w:num w:numId="32">
    <w:abstractNumId w:val="23754"/>
  </w:num>
  <w:num w:numId="33">
    <w:abstractNumId w:val="23755"/>
  </w:num>
  <w:num w:numId="34">
    <w:abstractNumId w:val="23756"/>
  </w:num>
  <w:num w:numId="35">
    <w:abstractNumId w:val="23757"/>
  </w:num>
  <w:num w:numId="36">
    <w:abstractNumId w:val="23758"/>
  </w:num>
  <w:num w:numId="37">
    <w:abstractNumId w:val="23759"/>
  </w:num>
  <w:num w:numId="38">
    <w:abstractNumId w:val="2376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numbering.xml" Type="http://schemas.openxmlformats.org/officeDocument/2006/relationships/numbering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2024-12-06T11:35:07Z</dcterms:created>
  <dc:creator>Apache POI</dc:creator>
</cp:coreProperties>
</file>