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萨福X好东西 活动营销结构方案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此方案旨在通过前期预热、活动执行到后期传播的全方位策略，有效提升品牌知名度与电影关注度，完成电影“破圈”，同时促进品牌与品牌消费者的链接和互动。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一、项目背景与目标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背景：萨福与即将上映的《好东西》电影进行联名合作，旨在通过电影的文化影响力与品牌的商业价值相结合，创造独特的营销体验，增强双方的品牌形象。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color w:val="d83931"/>
          <w:sz w:val="30"/>
        </w:rPr>
        <w:t>#萨福好东西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营销目标：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提升电影曝光：促进电影观影人群破圈。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提升品牌曝光：利用电影热度，增加品牌在线上与线下的可见度。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增加话题曝光：助力电影话题相关热度，营销造势。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增强用户参与：通过一系列互动活动，线上线下吸引并保持目标受众的兴趣与广泛参与。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建立情感连接：让消费者在享受电影的同时，感受到品牌传递的价值与情感共鸣。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项目周期：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两周：2024.11.25——2024.12.</w:t>
      </w:r>
      <w:r>
        <w:rPr>
          <w:rFonts w:eastAsia="等线" w:ascii="Arial" w:cs="Arial" w:hAnsi="Arial"/>
          <w:sz w:val="22"/>
        </w:rPr>
        <w:t>8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营销节奏：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前期线上平台预热活动+线下观影主题活动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营销预测：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等线" w:ascii="Arial" w:cs="Arial" w:hAnsi="Arial"/>
          <w:b w:val="true"/>
          <w:color w:val="d83931"/>
          <w:sz w:val="22"/>
        </w:rPr>
        <w:t>#女本位新词典</w:t>
      </w:r>
      <w:r>
        <w:rPr>
          <w:rFonts w:eastAsia="等线" w:ascii="Arial" w:cs="Arial" w:hAnsi="Arial"/>
          <w:b w:val="true"/>
          <w:sz w:val="22"/>
        </w:rPr>
        <w:t xml:space="preserve">  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#测测你是个什么好东西 </w:t>
      </w:r>
      <w:r>
        <w:rPr>
          <w:rFonts w:eastAsia="等线" w:ascii="Arial" w:cs="Arial" w:hAnsi="Arial"/>
          <w:b w:val="true"/>
          <w:sz w:val="22"/>
        </w:rPr>
        <w:t xml:space="preserve">  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#萨福好东西线下观影 </w:t>
      </w:r>
      <w:r>
        <w:rPr>
          <w:rFonts w:eastAsia="等线" w:ascii="Arial" w:cs="Arial" w:hAnsi="Arial"/>
          <w:b w:val="true"/>
          <w:sz w:val="22"/>
        </w:rPr>
        <w:t>（拟定话题）</w:t>
      </w:r>
      <w:r>
        <w:rPr>
          <w:rFonts w:eastAsia="等线" w:ascii="Arial" w:cs="Arial" w:hAnsi="Arial"/>
          <w:sz w:val="22"/>
        </w:rPr>
        <w:t>三个线上线下联动活动；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不断加强的“活动及主题包围”效应</w:t>
      </w:r>
      <w:r>
        <w:rPr>
          <w:rFonts w:eastAsia="等线" w:ascii="Arial" w:cs="Arial" w:hAnsi="Arial"/>
          <w:sz w:val="22"/>
        </w:rPr>
        <w:t>，不断强化</w:t>
      </w:r>
      <w:r>
        <w:rPr>
          <w:rFonts w:eastAsia="等线" w:ascii="Arial" w:cs="Arial" w:hAnsi="Arial"/>
          <w:b w:val="true"/>
          <w:sz w:val="22"/>
          <w:shd w:fill="fff67a"/>
        </w:rPr>
        <w:t>“萨福X好东西”</w:t>
      </w:r>
      <w:r>
        <w:rPr>
          <w:rFonts w:eastAsia="等线" w:ascii="Arial" w:cs="Arial" w:hAnsi="Arial"/>
          <w:sz w:val="22"/>
        </w:rPr>
        <w:t>的联动概念，在社交媒体以及线下聚集话题热度，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达到让</w:t>
      </w:r>
      <w:r>
        <w:rPr>
          <w:rFonts w:eastAsia="等线" w:ascii="Arial" w:cs="Arial" w:hAnsi="Arial"/>
          <w:b w:val="true"/>
          <w:sz w:val="22"/>
        </w:rPr>
        <w:t>“更多圈层的人群观影，更大范围的人参与讨论，更健康的观念释放，更多女人的成长解放”</w:t>
      </w:r>
      <w:r>
        <w:rPr>
          <w:rFonts w:eastAsia="等线" w:ascii="Arial" w:cs="Arial" w:hAnsi="Arial"/>
          <w:sz w:val="22"/>
        </w:rPr>
        <w:t>的由浅入深的传播目标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二、营销动作及具体节奏</w:t>
      </w:r>
      <w:bookmarkEnd w:id="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1.活动前期预热阶段（1周）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 xml:space="preserve">平台贴文互动 </w:t>
      </w:r>
      <w:r>
        <w:rPr>
          <w:rFonts w:eastAsia="等线" w:ascii="Arial" w:cs="Arial" w:hAnsi="Arial"/>
          <w:b w:val="true"/>
          <w:color w:val="d83931"/>
          <w:sz w:val="30"/>
        </w:rPr>
        <w:t xml:space="preserve"> #女本位新词典</w:t>
      </w:r>
      <w:bookmarkEnd w:id="9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内容创作：引导平台相关发布预热文章或短视频，内容围绕电影亮点、品牌故事等，从好东西出发自我创作新的词汇，发布在“相关话题池”当中，品牌方设立“点赞最高等形式抽奖赠品。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KOL/网红合作（1.2.同步）：邀请与品牌调性相符的KOL或电影相关领域的网红进行内容共创，增加话题热度。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（参考维度：女性主义；女性知识科普；女生生活分享；女生个人成长 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（参考分类：读书博主、穿搭博主、成长博主、婚恋博主，科普博主）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（参考博主：alex绝对是个妞；vivi可爱多；马康康啊呀；氧化菊；绝对小梦；阿文就是Aya）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主题活动</w:t>
      </w:r>
      <w:r>
        <w:rPr>
          <w:rFonts w:eastAsia="等线" w:ascii="Arial" w:cs="Arial" w:hAnsi="Arial"/>
          <w:b w:val="true"/>
          <w:color w:val="d83931"/>
          <w:sz w:val="30"/>
        </w:rPr>
        <w:t xml:space="preserve">#测测你是个什么好东西 </w:t>
      </w:r>
      <w:bookmarkEnd w:id="10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线上论坛/社群：在品牌官方社群等会员平台开设专题讨论区，发布“测试”鼓励社群成员进行测试并且发布。引导用户对相关话题进行讨论。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媒体平台账号发布相关“测试”：利用“联名"效应，吸引更多平台流量参与话题讨论。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品牌方可以在相关话题下发起“抽奖”等相关奖励和赠礼方式。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奖励选项：品牌方产品及试用装/线下观影电影票/电影票报销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2.活动执行阶段（观影活动当天）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线下观影会</w:t>
      </w:r>
      <w:r>
        <w:rPr>
          <w:rFonts w:eastAsia="等线" w:ascii="Arial" w:cs="Arial" w:hAnsi="Arial"/>
          <w:b w:val="true"/>
          <w:color w:val="d83931"/>
          <w:sz w:val="30"/>
        </w:rPr>
        <w:t>#萨福好东西线下观影</w:t>
      </w:r>
      <w:bookmarkEnd w:id="12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场地选择：选择具有特色的影院或艺术中心，布置符合电影及品牌风格的装饰。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专属体验：提供联名限定周边（如纪念票根、定制小礼品：“好东西”元素附加包装、产品小样）、品牌特饮或零食，增强现场体验感。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互动环节：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u w:val="single"/>
          <w:shd w:fill="fff67a"/>
        </w:rPr>
        <w:t>1）观影前后设置互动游戏“联名测试”、抽奖环节，奖品包括联名（非新产品线）商品、电影票等，增加趣味性。2）前序预热活动中的新造词可以进行实体字板制作，电影观影现场可以发放手持打卡。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导演互动：邀请电影导演出席，进行简短交流，导演/其他主创人员进行现场“测试”+结果公布，引起活动现场热度及讨论，提升活动影响力。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现场直播与分享</w:t>
      </w:r>
      <w:bookmarkEnd w:id="13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现场直播：通过品牌官方账号进行活动现场直播，让未能到场的粉丝也能感受到现场氛围。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社交媒体分享：鼓励现场参与者使用特定话题标签分享活动照片、视频，形成线上二次传播。（“新造词”打卡，线下观影礼物打卡）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奖励设置：导演签名、纪念票根、品牌试用装（带有好东西元素装饰的）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3、后期传播与评估（活动后1周）</w:t>
      </w:r>
      <w:bookmarkEnd w:id="1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媒体报道与总结</w:t>
      </w:r>
      <w:bookmarkEnd w:id="15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新闻稿发布：撰写活动总结新闻稿，链接相关行业媒体、电影资讯平台发布。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数据汇总：整理活动期间的参与度、曝光量、社交媒体互动数据等，评估活动效果。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平台影响力反馈收集</w:t>
      </w:r>
      <w:bookmarkEnd w:id="16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鼓励线下观影参与观众进行“线下观影活动”打卡及活动反馈，跟踪二次传播。可以通过设立观影平台打卡活动，增加发帖活跃度。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社交媒体监测：持续跟踪社交媒体上的用户评论，了解公众对活动的看法与建议。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3. </w:t>
      </w:r>
      <w:r>
        <w:rPr>
          <w:rFonts w:eastAsia="等线" w:ascii="Arial" w:cs="Arial" w:hAnsi="Arial"/>
          <w:b w:val="true"/>
          <w:sz w:val="30"/>
        </w:rPr>
        <w:t>持续营销</w:t>
      </w:r>
      <w:bookmarkEnd w:id="17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联名商品发售：新造词贴纸、延申物料等。（拟）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后续活动预告：基于本次活动的成功经验，规划后续联名活动或跨界合作，保持品牌热度。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b w:val="true"/>
          <w:sz w:val="36"/>
        </w:rPr>
        <w:t>三、营销活动预算与资源配置</w:t>
      </w:r>
      <w:bookmarkEnd w:id="18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明确预算：根据活动规模、宣传渠道、物料制作等需求，制定详细预算。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资源分配：合理分配人力、物力、财力资源，确保关键环节得到充足支持。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0019">
    <w:lvl>
      <w:start w:val="1"/>
      <w:numFmt w:val="decimal"/>
      <w:suff w:val="tab"/>
      <w:lvlText w:val="%1."/>
      <w:rPr>
        <w:color w:val="3370ff"/>
      </w:rPr>
    </w:lvl>
  </w:abstractNum>
  <w:abstractNum w:abstractNumId="120020">
    <w:lvl>
      <w:start w:val="2"/>
      <w:numFmt w:val="decimal"/>
      <w:suff w:val="tab"/>
      <w:lvlText w:val="%1."/>
      <w:rPr>
        <w:color w:val="3370ff"/>
      </w:rPr>
    </w:lvl>
  </w:abstractNum>
  <w:abstractNum w:abstractNumId="120021">
    <w:lvl>
      <w:start w:val="3"/>
      <w:numFmt w:val="decimal"/>
      <w:suff w:val="tab"/>
      <w:lvlText w:val="%1."/>
      <w:rPr>
        <w:color w:val="3370ff"/>
      </w:rPr>
    </w:lvl>
  </w:abstractNum>
  <w:abstractNum w:abstractNumId="120022">
    <w:lvl>
      <w:start w:val="4"/>
      <w:numFmt w:val="decimal"/>
      <w:suff w:val="tab"/>
      <w:lvlText w:val="%1."/>
      <w:rPr>
        <w:color w:val="3370ff"/>
      </w:rPr>
    </w:lvl>
  </w:abstractNum>
  <w:abstractNum w:abstractNumId="120023">
    <w:lvl>
      <w:start w:val="5"/>
      <w:numFmt w:val="decimal"/>
      <w:suff w:val="tab"/>
      <w:lvlText w:val="%1."/>
      <w:rPr>
        <w:color w:val="3370ff"/>
      </w:rPr>
    </w:lvl>
  </w:abstractNum>
  <w:abstractNum w:abstractNumId="120024">
    <w:lvl>
      <w:numFmt w:val="bullet"/>
      <w:suff w:val="tab"/>
      <w:lvlText w:val="•"/>
      <w:rPr>
        <w:color w:val="3370ff"/>
      </w:rPr>
    </w:lvl>
  </w:abstractNum>
  <w:abstractNum w:abstractNumId="120025">
    <w:lvl>
      <w:numFmt w:val="bullet"/>
      <w:suff w:val="tab"/>
      <w:lvlText w:val="•"/>
      <w:rPr>
        <w:color w:val="3370ff"/>
      </w:rPr>
    </w:lvl>
  </w:abstractNum>
  <w:abstractNum w:abstractNumId="120026">
    <w:lvl>
      <w:numFmt w:val="bullet"/>
      <w:suff w:val="tab"/>
      <w:lvlText w:val="•"/>
      <w:rPr>
        <w:color w:val="3370ff"/>
      </w:rPr>
    </w:lvl>
  </w:abstractNum>
  <w:abstractNum w:abstractNumId="120027">
    <w:lvl>
      <w:numFmt w:val="bullet"/>
      <w:suff w:val="tab"/>
      <w:lvlText w:val="•"/>
      <w:rPr>
        <w:color w:val="3370ff"/>
      </w:rPr>
    </w:lvl>
  </w:abstractNum>
  <w:abstractNum w:abstractNumId="120028">
    <w:lvl>
      <w:numFmt w:val="bullet"/>
      <w:suff w:val="tab"/>
      <w:lvlText w:val="•"/>
      <w:rPr>
        <w:color w:val="3370ff"/>
      </w:rPr>
    </w:lvl>
  </w:abstractNum>
  <w:abstractNum w:abstractNumId="120029">
    <w:lvl>
      <w:numFmt w:val="bullet"/>
      <w:suff w:val="tab"/>
      <w:lvlText w:val="•"/>
      <w:rPr>
        <w:color w:val="3370ff"/>
      </w:rPr>
    </w:lvl>
  </w:abstractNum>
  <w:abstractNum w:abstractNumId="120030">
    <w:lvl>
      <w:numFmt w:val="bullet"/>
      <w:suff w:val="tab"/>
      <w:lvlText w:val="•"/>
      <w:rPr>
        <w:color w:val="3370ff"/>
      </w:rPr>
    </w:lvl>
  </w:abstractNum>
  <w:abstractNum w:abstractNumId="120031">
    <w:lvl>
      <w:numFmt w:val="bullet"/>
      <w:suff w:val="tab"/>
      <w:lvlText w:val="•"/>
      <w:rPr>
        <w:color w:val="3370ff"/>
      </w:rPr>
    </w:lvl>
  </w:abstractNum>
  <w:abstractNum w:abstractNumId="120032">
    <w:lvl>
      <w:numFmt w:val="bullet"/>
      <w:suff w:val="tab"/>
      <w:lvlText w:val="•"/>
      <w:rPr>
        <w:color w:val="3370ff"/>
      </w:rPr>
    </w:lvl>
  </w:abstractNum>
  <w:abstractNum w:abstractNumId="120033">
    <w:lvl>
      <w:numFmt w:val="bullet"/>
      <w:suff w:val="tab"/>
      <w:lvlText w:val="•"/>
      <w:rPr>
        <w:color w:val="3370ff"/>
      </w:rPr>
    </w:lvl>
  </w:abstractNum>
  <w:abstractNum w:abstractNumId="120034">
    <w:lvl>
      <w:numFmt w:val="bullet"/>
      <w:suff w:val="tab"/>
      <w:lvlText w:val="•"/>
      <w:rPr>
        <w:color w:val="3370ff"/>
      </w:rPr>
    </w:lvl>
  </w:abstractNum>
  <w:abstractNum w:abstractNumId="120035">
    <w:lvl>
      <w:numFmt w:val="bullet"/>
      <w:suff w:val="tab"/>
      <w:lvlText w:val="•"/>
      <w:rPr>
        <w:color w:val="3370ff"/>
      </w:rPr>
    </w:lvl>
  </w:abstractNum>
  <w:abstractNum w:abstractNumId="120036">
    <w:lvl>
      <w:numFmt w:val="bullet"/>
      <w:suff w:val="tab"/>
      <w:lvlText w:val="•"/>
      <w:rPr>
        <w:color w:val="3370ff"/>
      </w:rPr>
    </w:lvl>
  </w:abstractNum>
  <w:abstractNum w:abstractNumId="120037">
    <w:lvl>
      <w:numFmt w:val="bullet"/>
      <w:suff w:val="tab"/>
      <w:lvlText w:val="•"/>
      <w:rPr>
        <w:color w:val="3370ff"/>
      </w:rPr>
    </w:lvl>
  </w:abstractNum>
  <w:abstractNum w:abstractNumId="120038">
    <w:lvl>
      <w:numFmt w:val="bullet"/>
      <w:suff w:val="tab"/>
      <w:lvlText w:val="•"/>
      <w:rPr>
        <w:color w:val="3370ff"/>
      </w:rPr>
    </w:lvl>
  </w:abstractNum>
  <w:abstractNum w:abstractNumId="120039">
    <w:lvl>
      <w:numFmt w:val="bullet"/>
      <w:suff w:val="tab"/>
      <w:lvlText w:val="•"/>
      <w:rPr>
        <w:color w:val="3370ff"/>
      </w:rPr>
    </w:lvl>
  </w:abstractNum>
  <w:abstractNum w:abstractNumId="120040">
    <w:lvl>
      <w:numFmt w:val="bullet"/>
      <w:suff w:val="tab"/>
      <w:lvlText w:val="•"/>
      <w:rPr>
        <w:color w:val="3370ff"/>
      </w:rPr>
    </w:lvl>
  </w:abstractNum>
  <w:abstractNum w:abstractNumId="120041">
    <w:lvl>
      <w:numFmt w:val="bullet"/>
      <w:suff w:val="tab"/>
      <w:lvlText w:val="•"/>
      <w:rPr>
        <w:color w:val="3370ff"/>
      </w:rPr>
    </w:lvl>
  </w:abstractNum>
  <w:abstractNum w:abstractNumId="120042">
    <w:lvl>
      <w:numFmt w:val="bullet"/>
      <w:suff w:val="tab"/>
      <w:lvlText w:val="•"/>
      <w:rPr>
        <w:color w:val="3370ff"/>
      </w:rPr>
    </w:lvl>
  </w:abstractNum>
  <w:num w:numId="1">
    <w:abstractNumId w:val="120019"/>
  </w:num>
  <w:num w:numId="2">
    <w:abstractNumId w:val="120020"/>
  </w:num>
  <w:num w:numId="3">
    <w:abstractNumId w:val="120021"/>
  </w:num>
  <w:num w:numId="4">
    <w:abstractNumId w:val="120022"/>
  </w:num>
  <w:num w:numId="5">
    <w:abstractNumId w:val="120023"/>
  </w:num>
  <w:num w:numId="6">
    <w:abstractNumId w:val="120024"/>
  </w:num>
  <w:num w:numId="7">
    <w:abstractNumId w:val="120025"/>
  </w:num>
  <w:num w:numId="8">
    <w:abstractNumId w:val="120026"/>
  </w:num>
  <w:num w:numId="9">
    <w:abstractNumId w:val="120027"/>
  </w:num>
  <w:num w:numId="10">
    <w:abstractNumId w:val="120028"/>
  </w:num>
  <w:num w:numId="11">
    <w:abstractNumId w:val="120029"/>
  </w:num>
  <w:num w:numId="12">
    <w:abstractNumId w:val="120030"/>
  </w:num>
  <w:num w:numId="13">
    <w:abstractNumId w:val="120031"/>
  </w:num>
  <w:num w:numId="14">
    <w:abstractNumId w:val="120032"/>
  </w:num>
  <w:num w:numId="15">
    <w:abstractNumId w:val="120033"/>
  </w:num>
  <w:num w:numId="16">
    <w:abstractNumId w:val="120034"/>
  </w:num>
  <w:num w:numId="17">
    <w:abstractNumId w:val="120035"/>
  </w:num>
  <w:num w:numId="18">
    <w:abstractNumId w:val="120036"/>
  </w:num>
  <w:num w:numId="19">
    <w:abstractNumId w:val="120037"/>
  </w:num>
  <w:num w:numId="20">
    <w:abstractNumId w:val="120038"/>
  </w:num>
  <w:num w:numId="21">
    <w:abstractNumId w:val="120039"/>
  </w:num>
  <w:num w:numId="22">
    <w:abstractNumId w:val="120040"/>
  </w:num>
  <w:num w:numId="23">
    <w:abstractNumId w:val="120041"/>
  </w:num>
  <w:num w:numId="24">
    <w:abstractNumId w:val="12004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2024-12-06T11:26:20Z</dcterms:created>
  <dc:creator>Apache POI</dc:creator>
</cp:coreProperties>
</file>