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56885b828fe40d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661a06f28b848fe"/>
                    <a:stretch>
                      <a:fillRect/>
                    </a:stretch>
                  </pic:blipFill>
                  <pic:spPr>
                    <a:xfrm>
                      <a:off x="0" y="0"/>
                      <a:ext cx="7560000" cy="10692000"/>
                    </a:xfrm>
                    <a:prstGeom prst="rect"/>
                  </pic:spPr>
                </pic:pic>
              </a:graphicData>
            </a:graphic>
          </wp:anchor>
        </w:drawing>
      </w:r>
    </w:p>
    <w:p>
      <w:pPr>
        <w:spacing w:before="4500"/>
      </w:pPr>
      <w:r/>
    </w:p>
    <w:p>
      <w:pPr>
        <w:spacing w:after="200"/>
        <w:ind w:left="1200" w:right="1200"/>
        <w:jc w:val="left"/>
      </w:pPr>
      <w:r>
        <w:rPr>
          <w:b/>
          <w:color w:val="FFFFFF"/>
          <w:spacing w:val="30"/>
          <w:sz w:val="72"/>
        </w:rPr>
        <w:t>Car Resale Value</w:t>
      </w:r>
    </w:p>
    <w:p>
      <w:pPr>
        <w:spacing w:after="600"/>
        <w:ind w:left="1200" w:right="1200"/>
        <w:jc w:val="left"/>
      </w:pPr>
      <w:r>
        <w:rPr>
          <w:b/>
          <w:color w:val="1ABC9C"/>
          <w:spacing w:val="30"/>
          <w:sz w:val="72"/>
        </w:rPr>
        <w:t>Prediction Project</w:t>
      </w:r>
    </w:p>
    <w:p>
      <w:pPr>
        <w:spacing w:after="200"/>
        <w:ind w:left="1200" w:right="1200"/>
        <w:jc w:val="left"/>
      </w:pPr>
      <w:r>
        <w:rPr>
          <w:color w:val="BDC3C7"/>
          <w:sz w:val="26"/>
        </w:rPr>
        <w:t>Multi-Market ML Pipeline: India, Europe &amp; Asia</w:t>
      </w:r>
    </w:p>
    <w:p>
      <w:pPr>
        <w:spacing w:before="3000"/>
        <w:ind w:left="1200"/>
      </w:pPr>
      <w:r>
        <w:rPr>
          <w:color w:val="7F8C8D"/>
          <w:sz w:val="20"/>
        </w:rPr>
        <w:t>Complete Implementation Guide  |  Zero-Cost Architecture</w:t>
      </w:r>
    </w:p>
    <w:p>
      <w:pPr>
        <w:sectPr>
          <w:type w:val="nextPage"/>
          <w:pgSz w:w="11906" w:h="16838"/>
          <w:pgMar w:top="0" w:right="0" w:bottom="0" w:left="0" w:header="0" w:footer="0"/>
          <w:titlePg/>
        </w:sectPr>
      </w:pPr>
    </w:p>
    <w:p>
      <w:pPr>
        <w:pStyle w:val="Heading1"/>
      </w:pPr>
      <w:r>
        <w:t>Table of Contents</w:t>
      </w:r>
      <w:bookmarkStart w:name="_Toc000" w:id="1"/>
      <w:bookmarkEnd w:id="1"/>
    </w:p>
    <w:p>
      <w:r>
        <w:fldChar w:fldCharType="begin"/>
      </w:r>
      <w:r>
        <w:instrText xml:space="preserve"> TOC \o "1-3" \h \z \u </w:instrText>
      </w:r>
      <w:r>
        <w:fldChar w:fldCharType="separate"/>
      </w:r>
    </w:p>
    <w:p>
      <w:pPr>
        <w:pStyle w:val="TOC1"/>
      </w:pPr>
      <w:r>
        <w:t>Executive Summary</w:t>
      </w:r>
      <w:r>
        <w:tab/>
      </w:r>
      <w:r>
        <w:t>3</w:t>
      </w:r>
    </w:p>
    <w:p>
      <w:pPr>
        <w:pStyle w:val="TOC1"/>
      </w:pPr>
      <w:r>
        <w:t>Project Overview &amp; Architecture</w:t>
      </w:r>
      <w:r>
        <w:tab/>
      </w:r>
      <w:r>
        <w:t>4</w:t>
      </w:r>
    </w:p>
    <w:p>
      <w:pPr>
        <w:pStyle w:val="TOC2"/>
      </w:pPr>
      <w:r>
        <w:t>System Architecture Diagram</w:t>
      </w:r>
      <w:r>
        <w:tab/>
      </w:r>
      <w:r>
        <w:t>4</w:t>
      </w:r>
    </w:p>
    <w:p>
      <w:pPr>
        <w:pStyle w:val="TOC2"/>
      </w:pPr>
      <w:r>
        <w:t>Hardware Strategy</w:t>
      </w:r>
      <w:r>
        <w:tab/>
      </w:r>
      <w:r>
        <w:t>5</w:t>
      </w:r>
    </w:p>
    <w:p>
      <w:pPr>
        <w:pStyle w:val="TOC1"/>
      </w:pPr>
      <w:r>
        <w:t>Dataset Selection</w:t>
      </w:r>
      <w:r>
        <w:tab/>
      </w:r>
      <w:r>
        <w:t>6</w:t>
      </w:r>
    </w:p>
    <w:p>
      <w:pPr>
        <w:pStyle w:val="TOC2"/>
      </w:pPr>
      <w:r>
        <w:t>Indian Market Dataset</w:t>
      </w:r>
      <w:r>
        <w:tab/>
      </w:r>
      <w:r>
        <w:t>6</w:t>
      </w:r>
    </w:p>
    <w:p>
      <w:pPr>
        <w:pStyle w:val="TOC2"/>
      </w:pPr>
      <w:r>
        <w:t>European Market Dataset</w:t>
      </w:r>
      <w:r>
        <w:tab/>
      </w:r>
      <w:r>
        <w:t>7</w:t>
      </w:r>
    </w:p>
    <w:p>
      <w:pPr>
        <w:pStyle w:val="TOC2"/>
      </w:pPr>
      <w:r>
        <w:t>Asian Market Dataset</w:t>
      </w:r>
      <w:r>
        <w:tab/>
      </w:r>
      <w:r>
        <w:t>8</w:t>
      </w:r>
    </w:p>
    <w:p>
      <w:pPr>
        <w:pStyle w:val="TOC1"/>
      </w:pPr>
      <w:r>
        <w:t>ML Pipeline Design</w:t>
      </w:r>
      <w:r>
        <w:tab/>
      </w:r>
      <w:r>
        <w:t>9</w:t>
      </w:r>
    </w:p>
    <w:p>
      <w:pPr>
        <w:pStyle w:val="TOC2"/>
      </w:pPr>
      <w:r>
        <w:t>Step 1: Data Collection &amp; Merging</w:t>
      </w:r>
      <w:r>
        <w:tab/>
      </w:r>
      <w:r>
        <w:t>9</w:t>
      </w:r>
    </w:p>
    <w:p>
      <w:pPr>
        <w:pStyle w:val="TOC2"/>
      </w:pPr>
      <w:r>
        <w:t>Step 2: EDA &amp; Preprocessing</w:t>
      </w:r>
      <w:r>
        <w:tab/>
      </w:r>
      <w:r>
        <w:t>10</w:t>
      </w:r>
    </w:p>
    <w:p>
      <w:pPr>
        <w:pStyle w:val="TOC2"/>
      </w:pPr>
      <w:r>
        <w:t>Step 3: Feature Engineering</w:t>
      </w:r>
      <w:r>
        <w:tab/>
      </w:r>
      <w:r>
        <w:t>11</w:t>
      </w:r>
    </w:p>
    <w:p>
      <w:pPr>
        <w:pStyle w:val="TOC1"/>
      </w:pPr>
      <w:r>
        <w:t>Model Selection &amp; Training</w:t>
      </w:r>
      <w:r>
        <w:tab/>
      </w:r>
      <w:r>
        <w:t>12</w:t>
      </w:r>
    </w:p>
    <w:p>
      <w:pPr>
        <w:pStyle w:val="TOC2"/>
      </w:pPr>
      <w:r>
        <w:t>Recommended Model: XGBoost</w:t>
      </w:r>
      <w:r>
        <w:tab/>
      </w:r>
      <w:r>
        <w:t>12</w:t>
      </w:r>
    </w:p>
    <w:p>
      <w:pPr>
        <w:pStyle w:val="TOC2"/>
      </w:pPr>
      <w:r>
        <w:t>Alternative Models Comparison</w:t>
      </w:r>
      <w:r>
        <w:tab/>
      </w:r>
      <w:r>
        <w:t>13</w:t>
      </w:r>
    </w:p>
    <w:p>
      <w:pPr>
        <w:pStyle w:val="TOC1"/>
      </w:pPr>
      <w:r>
        <w:t>Google Colab Integration</w:t>
      </w:r>
      <w:r>
        <w:tab/>
      </w:r>
      <w:r>
        <w:t>14</w:t>
      </w:r>
    </w:p>
    <w:p>
      <w:pPr>
        <w:pStyle w:val="TOC2"/>
      </w:pPr>
      <w:r>
        <w:t>MacBook M5 Local Development</w:t>
      </w:r>
      <w:r>
        <w:tab/>
      </w:r>
      <w:r>
        <w:t>14</w:t>
      </w:r>
    </w:p>
    <w:p>
      <w:pPr>
        <w:pStyle w:val="TOC2"/>
      </w:pPr>
      <w:r>
        <w:t>Colab-to-Local Sync Strategy</w:t>
      </w:r>
      <w:r>
        <w:tab/>
      </w:r>
      <w:r>
        <w:t>15</w:t>
      </w:r>
    </w:p>
    <w:p>
      <w:pPr>
        <w:pStyle w:val="TOC1"/>
      </w:pPr>
      <w:r>
        <w:t>Web UI Architecture</w:t>
      </w:r>
      <w:r>
        <w:tab/>
      </w:r>
      <w:r>
        <w:t>16</w:t>
      </w:r>
    </w:p>
    <w:p>
      <w:pPr>
        <w:pStyle w:val="TOC2"/>
      </w:pPr>
      <w:r>
        <w:t>Frontend: React + TypeScript</w:t>
      </w:r>
      <w:r>
        <w:tab/>
      </w:r>
      <w:r>
        <w:t>16</w:t>
      </w:r>
    </w:p>
    <w:p>
      <w:pPr>
        <w:pStyle w:val="TOC2"/>
      </w:pPr>
      <w:r>
        <w:t>Backend: FastAPI + Model Serving</w:t>
      </w:r>
      <w:r>
        <w:tab/>
      </w:r>
      <w:r>
        <w:t>17</w:t>
      </w:r>
    </w:p>
    <w:p>
      <w:pPr>
        <w:pStyle w:val="TOC1"/>
      </w:pPr>
      <w:r>
        <w:t>Zero-Cost Deployment</w:t>
      </w:r>
      <w:r>
        <w:tab/>
      </w:r>
      <w:r>
        <w:t>18</w:t>
      </w:r>
    </w:p>
    <w:p>
      <w:pPr>
        <w:pStyle w:val="TOC1"/>
      </w:pPr>
      <w:r>
        <w:t>Implementation Roadmap</w:t>
      </w:r>
      <w:r>
        <w:tab/>
      </w:r>
      <w:r>
        <w:t>19</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2"/>
      <w:bookmarkEnd w:id="2"/>
    </w:p>
    <w:p>
      <w:r>
        <w:t>This document provides a complete, zero-cost implementation guide for building a Car Resale Value Prediction system covering three major automotive markets: Indian, European, and Asian. The architecture leverages free cloud resources (Google Colab) for model training and your MacBook M5 (24GB RAM) for local development and deployment.</w:t>
      </w:r>
    </w:p>
    <w:p>
      <w:r>
        <w:t>Key highlights of this project design:</w:t>
      </w:r>
    </w:p>
    <w:p>
      <w:pPr>
        <w:numPr>
          <w:ilvl w:val="0"/>
          <w:numId w:val="1"/>
        </w:numPr>
      </w:pPr>
      <w:r>
        <w:t>Total dataset size: 300,000+ used car records across India, Germany/UK, and Asia</w:t>
      </w:r>
    </w:p>
    <w:p>
      <w:pPr>
        <w:numPr>
          <w:ilvl w:val="0"/>
          <w:numId w:val="1"/>
        </w:numPr>
      </w:pPr>
      <w:r>
        <w:t>Primary model: XGBoost Regressor (R2 = 0.93 on European benchmark)</w:t>
      </w:r>
    </w:p>
    <w:p>
      <w:pPr>
        <w:numPr>
          <w:ilvl w:val="0"/>
          <w:numId w:val="1"/>
        </w:numPr>
      </w:pPr>
      <w:r>
        <w:t>Full-stack web UI: React frontend + FastAPI backend with real-time predictions</w:t>
      </w:r>
    </w:p>
    <w:p>
      <w:pPr>
        <w:numPr>
          <w:ilvl w:val="0"/>
          <w:numId w:val="1"/>
        </w:numPr>
      </w:pPr>
      <w:r>
        <w:t>Hardware split: Google Colab (free GPU) for training, MacBook M5 for serving</w:t>
      </w:r>
    </w:p>
    <w:p>
      <w:pPr>
        <w:numPr>
          <w:ilvl w:val="0"/>
          <w:numId w:val="1"/>
        </w:numPr>
      </w:pPr>
      <w:r>
        <w:t>Deployment: Zero-cost via Render free tier + GitHub Pages</w:t>
      </w:r>
    </w:p>
    <w:p>
      <w:r>
        <w:t>The entire pipeline follows MLOps best practices learned from production AI systems: automated data validation, model versioning, feature stores, and A/B testing hooks.</w:t>
      </w:r>
    </w:p>
    <w:p>
      <w:pPr>
        <w:pStyle w:val="Heading1"/>
      </w:pPr>
      <w:r>
        <w:t>Project Overview &amp; Architecture</w:t>
      </w:r>
      <w:bookmarkStart w:name="_Toc002" w:id="3"/>
      <w:bookmarkEnd w:id="3"/>
    </w:p>
    <w:p>
      <w:pPr>
        <w:pStyle w:val="Heading2"/>
      </w:pPr>
      <w:r>
        <w:t>System Architecture Diagram</w:t>
      </w:r>
    </w:p>
    <w:p>
      <w:r>
        <w:t>The system follows a three-tier architecture separating data processing, model training, and inference serving:</w:t>
      </w:r>
    </w:p>
    <w:tbl>
      <w:tblPr>
        <w:tblW w:w="5000" w:type="pct"/>
        <w:tblBorders>
          <w:top w:val="single" w:color="3498DB" w:sz="12"/>
          <w:left w:val="nil"/>
          <w:bottom w:val="single" w:color="3498DB" w:sz="12"/>
          <w:right w:val="nil"/>
          <w:insideH w:val="single" w:color="BDC3C7" w:sz="4"/>
        </w:tblBorders>
      </w:tblPr>
      <w:tblGrid>
        <w:gridCol w:w="2200"/>
        <w:gridCol w:w="4000"/>
        <w:gridCol w:w="3800"/>
      </w:tblGrid>
      <w:tr>
        <w:trPr>
          <w:tblHeader/>
        </w:trPr>
        <w:tc>
          <w:tcPr>
            <w:tcW w:w="2200" w:type="dxa"/>
            <w:shd w:val="clear" w:fill="EBF5FB"/>
          </w:tcPr>
          <w:p>
            <w:pPr>
              <w:spacing w:before="40" w:after="40"/>
              <w:jc w:val="left"/>
            </w:pPr>
            <w:r>
              <w:rPr>
                <w:b/>
                <w:color w:val="1A252F"/>
                <w:sz w:val="20"/>
              </w:rPr>
              <w:t>Layer</w:t>
            </w:r>
          </w:p>
        </w:tc>
        <w:tc>
          <w:tcPr>
            <w:tcW w:w="4000" w:type="dxa"/>
            <w:shd w:val="clear" w:fill="EBF5FB"/>
          </w:tcPr>
          <w:p>
            <w:pPr>
              <w:spacing w:before="40" w:after="40"/>
              <w:jc w:val="left"/>
            </w:pPr>
            <w:r>
              <w:rPr>
                <w:b/>
                <w:color w:val="1A252F"/>
                <w:sz w:val="20"/>
              </w:rPr>
              <w:t>Technology</w:t>
            </w:r>
          </w:p>
        </w:tc>
        <w:tc>
          <w:tcPr>
            <w:tcW w:w="3800" w:type="dxa"/>
            <w:shd w:val="clear" w:fill="EBF5FB"/>
          </w:tcPr>
          <w:p>
            <w:pPr>
              <w:spacing w:before="40" w:after="40"/>
              <w:jc w:val="left"/>
            </w:pPr>
            <w:r>
              <w:rPr>
                <w:b/>
                <w:color w:val="1A252F"/>
                <w:sz w:val="20"/>
              </w:rPr>
              <w:t>Purpose</w:t>
            </w:r>
          </w:p>
        </w:tc>
      </w:tr>
      <w:tr>
        <w:tc>
          <w:tcPr>
            <w:tcW w:w="2200" w:type="dxa"/>
          </w:tcPr>
          <w:p>
            <w:pPr>
              <w:spacing w:before="40" w:after="40"/>
              <w:jc w:val="left"/>
            </w:pPr>
            <w:r>
              <w:rPr>
                <w:color w:val="34495E"/>
                <w:sz w:val="20"/>
              </w:rPr>
              <w:t>Data Layer</w:t>
            </w:r>
          </w:p>
        </w:tc>
        <w:tc>
          <w:tcPr>
            <w:tcW w:w="4000" w:type="dxa"/>
          </w:tcPr>
          <w:p>
            <w:pPr>
              <w:spacing w:before="40" w:after="40"/>
              <w:jc w:val="left"/>
            </w:pPr>
            <w:r>
              <w:rPr>
                <w:color w:val="34495E"/>
                <w:sz w:val="20"/>
              </w:rPr>
              <w:t>Kaggle Datasets + pandas</w:t>
            </w:r>
          </w:p>
        </w:tc>
        <w:tc>
          <w:tcPr>
            <w:tcW w:w="3800" w:type="dxa"/>
          </w:tcPr>
          <w:p>
            <w:pPr>
              <w:spacing w:before="40" w:after="40"/>
              <w:jc w:val="left"/>
            </w:pPr>
            <w:r>
              <w:rPr>
                <w:color w:val="34495E"/>
                <w:sz w:val="20"/>
              </w:rPr>
              <w:t>Ingest, clean, merge 3 regional datasets</w:t>
            </w:r>
          </w:p>
        </w:tc>
      </w:tr>
      <w:tr>
        <w:tc>
          <w:tcPr>
            <w:tcW w:w="2200" w:type="dxa"/>
          </w:tcPr>
          <w:p>
            <w:pPr>
              <w:spacing w:before="40" w:after="40"/>
              <w:jc w:val="left"/>
            </w:pPr>
            <w:r>
              <w:rPr>
                <w:color w:val="34495E"/>
                <w:sz w:val="20"/>
              </w:rPr>
              <w:t>Training Layer</w:t>
            </w:r>
          </w:p>
        </w:tc>
        <w:tc>
          <w:tcPr>
            <w:tcW w:w="4000" w:type="dxa"/>
          </w:tcPr>
          <w:p>
            <w:pPr>
              <w:spacing w:before="40" w:after="40"/>
              <w:jc w:val="left"/>
            </w:pPr>
            <w:r>
              <w:rPr>
                <w:color w:val="34495E"/>
                <w:sz w:val="20"/>
              </w:rPr>
              <w:t>Google Colab + XGBoost</w:t>
            </w:r>
          </w:p>
        </w:tc>
        <w:tc>
          <w:tcPr>
            <w:tcW w:w="3800" w:type="dxa"/>
          </w:tcPr>
          <w:p>
            <w:pPr>
              <w:spacing w:before="40" w:after="40"/>
              <w:jc w:val="left"/>
            </w:pPr>
            <w:r>
              <w:rPr>
                <w:color w:val="34495E"/>
                <w:sz w:val="20"/>
              </w:rPr>
              <w:t>GPU-accelerated model training</w:t>
            </w:r>
          </w:p>
        </w:tc>
      </w:tr>
      <w:tr>
        <w:tc>
          <w:tcPr>
            <w:tcW w:w="2200" w:type="dxa"/>
          </w:tcPr>
          <w:p>
            <w:pPr>
              <w:spacing w:before="40" w:after="40"/>
              <w:jc w:val="left"/>
            </w:pPr>
            <w:r>
              <w:rPr>
                <w:color w:val="34495E"/>
                <w:sz w:val="20"/>
              </w:rPr>
              <w:t>Feature Store</w:t>
            </w:r>
          </w:p>
        </w:tc>
        <w:tc>
          <w:tcPr>
            <w:tcW w:w="4000" w:type="dxa"/>
          </w:tcPr>
          <w:p>
            <w:pPr>
              <w:spacing w:before="40" w:after="40"/>
              <w:jc w:val="left"/>
            </w:pPr>
            <w:r>
              <w:rPr>
                <w:color w:val="34495E"/>
                <w:sz w:val="20"/>
              </w:rPr>
              <w:t>Local SQLite / JSON</w:t>
            </w:r>
          </w:p>
        </w:tc>
        <w:tc>
          <w:tcPr>
            <w:tcW w:w="3800" w:type="dxa"/>
          </w:tcPr>
          <w:p>
            <w:pPr>
              <w:spacing w:before="40" w:after="40"/>
              <w:jc w:val="left"/>
            </w:pPr>
            <w:r>
              <w:rPr>
                <w:color w:val="34495E"/>
                <w:sz w:val="20"/>
              </w:rPr>
              <w:t>Preprocessing pipeline artifacts</w:t>
            </w:r>
          </w:p>
        </w:tc>
      </w:tr>
      <w:tr>
        <w:tc>
          <w:tcPr>
            <w:tcW w:w="2200" w:type="dxa"/>
          </w:tcPr>
          <w:p>
            <w:pPr>
              <w:spacing w:before="40" w:after="40"/>
              <w:jc w:val="left"/>
            </w:pPr>
            <w:r>
              <w:rPr>
                <w:color w:val="34495E"/>
                <w:sz w:val="20"/>
              </w:rPr>
              <w:t>Serving Layer</w:t>
            </w:r>
          </w:p>
        </w:tc>
        <w:tc>
          <w:tcPr>
            <w:tcW w:w="4000" w:type="dxa"/>
          </w:tcPr>
          <w:p>
            <w:pPr>
              <w:spacing w:before="40" w:after="40"/>
              <w:jc w:val="left"/>
            </w:pPr>
            <w:r>
              <w:rPr>
                <w:color w:val="34495E"/>
                <w:sz w:val="20"/>
              </w:rPr>
              <w:t>FastAPI + MacBook M5</w:t>
            </w:r>
          </w:p>
        </w:tc>
        <w:tc>
          <w:tcPr>
            <w:tcW w:w="3800" w:type="dxa"/>
          </w:tcPr>
          <w:p>
            <w:pPr>
              <w:spacing w:before="40" w:after="40"/>
              <w:jc w:val="left"/>
            </w:pPr>
            <w:r>
              <w:rPr>
                <w:color w:val="34495E"/>
                <w:sz w:val="20"/>
              </w:rPr>
              <w:t>Real-time prediction API</w:t>
            </w:r>
          </w:p>
        </w:tc>
      </w:tr>
      <w:tr>
        <w:tc>
          <w:tcPr>
            <w:tcW w:w="2200" w:type="dxa"/>
          </w:tcPr>
          <w:p>
            <w:pPr>
              <w:spacing w:before="40" w:after="40"/>
              <w:jc w:val="left"/>
            </w:pPr>
            <w:r>
              <w:rPr>
                <w:color w:val="34495E"/>
                <w:sz w:val="20"/>
              </w:rPr>
              <w:t>UI Layer</w:t>
            </w:r>
          </w:p>
        </w:tc>
        <w:tc>
          <w:tcPr>
            <w:tcW w:w="4000" w:type="dxa"/>
          </w:tcPr>
          <w:p>
            <w:pPr>
              <w:spacing w:before="40" w:after="40"/>
              <w:jc w:val="left"/>
            </w:pPr>
            <w:r>
              <w:rPr>
                <w:color w:val="34495E"/>
                <w:sz w:val="20"/>
              </w:rPr>
              <w:t>React + TypeScript</w:t>
            </w:r>
          </w:p>
        </w:tc>
        <w:tc>
          <w:tcPr>
            <w:tcW w:w="3800" w:type="dxa"/>
          </w:tcPr>
          <w:p>
            <w:pPr>
              <w:spacing w:before="40" w:after="40"/>
              <w:jc w:val="left"/>
            </w:pPr>
            <w:r>
              <w:rPr>
                <w:color w:val="34495E"/>
                <w:sz w:val="20"/>
              </w:rPr>
              <w:t>Interactive web interface</w:t>
            </w:r>
          </w:p>
        </w:tc>
      </w:tr>
      <w:tr>
        <w:tc>
          <w:tcPr>
            <w:tcW w:w="2200" w:type="dxa"/>
          </w:tcPr>
          <w:p>
            <w:pPr>
              <w:spacing w:before="40" w:after="40"/>
              <w:jc w:val="left"/>
            </w:pPr>
            <w:r>
              <w:rPr>
                <w:color w:val="34495E"/>
                <w:sz w:val="20"/>
              </w:rPr>
              <w:t>Deployment</w:t>
            </w:r>
          </w:p>
        </w:tc>
        <w:tc>
          <w:tcPr>
            <w:tcW w:w="4000" w:type="dxa"/>
          </w:tcPr>
          <w:p>
            <w:pPr>
              <w:spacing w:before="40" w:after="40"/>
              <w:jc w:val="left"/>
            </w:pPr>
            <w:r>
              <w:rPr>
                <w:color w:val="34495E"/>
                <w:sz w:val="20"/>
              </w:rPr>
              <w:t>Render + GitHub Pages</w:t>
            </w:r>
          </w:p>
        </w:tc>
        <w:tc>
          <w:tcPr>
            <w:tcW w:w="3800" w:type="dxa"/>
          </w:tcPr>
          <w:p>
            <w:pPr>
              <w:spacing w:before="40" w:after="40"/>
              <w:jc w:val="left"/>
            </w:pPr>
            <w:r>
              <w:rPr>
                <w:color w:val="34495E"/>
                <w:sz w:val="20"/>
              </w:rPr>
              <w:t>Zero-cost production hosting</w:t>
            </w:r>
          </w:p>
        </w:tc>
      </w:tr>
    </w:tbl>
    <w:p>
      <w:pPr>
        <w:pStyle w:val="Heading2"/>
      </w:pPr>
      <w:r>
        <w:t>Hardware Strategy</w:t>
      </w:r>
    </w:p>
    <w:p>
      <w:r>
        <w:t>Your MacBook M5 with 24GB unified memory is a powerful machine learning workstation. Here is how to optimally allocate resources between Colab and local:</w:t>
      </w:r>
    </w:p>
    <w:tbl>
      <w:tblPr>
        <w:tblW w:w="5000" w:type="pct"/>
        <w:tblBorders>
          <w:top w:val="single" w:color="3498DB" w:sz="12"/>
          <w:left w:val="nil"/>
          <w:bottom w:val="single" w:color="3498DB" w:sz="12"/>
          <w:right w:val="nil"/>
          <w:insideH w:val="single" w:color="BDC3C7" w:sz="4"/>
        </w:tblBorders>
      </w:tblPr>
      <w:tblGrid>
        <w:gridCol w:w="2500"/>
        <w:gridCol w:w="3750"/>
        <w:gridCol w:w="3750"/>
      </w:tblGrid>
      <w:tr>
        <w:trPr>
          <w:tblHeader/>
        </w:trPr>
        <w:tc>
          <w:tcPr>
            <w:tcW w:w="2500" w:type="dxa"/>
            <w:shd w:val="clear" w:fill="EBF5FB"/>
          </w:tcPr>
          <w:p>
            <w:pPr>
              <w:spacing w:before="40" w:after="40"/>
              <w:jc w:val="left"/>
            </w:pPr>
            <w:r>
              <w:rPr>
                <w:b/>
                <w:color w:val="1A252F"/>
                <w:sz w:val="20"/>
              </w:rPr>
              <w:t>Task</w:t>
            </w:r>
          </w:p>
        </w:tc>
        <w:tc>
          <w:tcPr>
            <w:tcW w:w="3750" w:type="dxa"/>
            <w:shd w:val="clear" w:fill="EBF5FB"/>
          </w:tcPr>
          <w:p>
            <w:pPr>
              <w:spacing w:before="40" w:after="40"/>
              <w:jc w:val="left"/>
            </w:pPr>
            <w:r>
              <w:rPr>
                <w:b/>
                <w:color w:val="1A252F"/>
                <w:sz w:val="20"/>
              </w:rPr>
              <w:t>MacBook M5 (24GB)</w:t>
            </w:r>
          </w:p>
        </w:tc>
        <w:tc>
          <w:tcPr>
            <w:tcW w:w="3750" w:type="dxa"/>
            <w:shd w:val="clear" w:fill="EBF5FB"/>
          </w:tcPr>
          <w:p>
            <w:pPr>
              <w:spacing w:before="40" w:after="40"/>
              <w:jc w:val="left"/>
            </w:pPr>
            <w:r>
              <w:rPr>
                <w:b/>
                <w:color w:val="1A252F"/>
                <w:sz w:val="20"/>
              </w:rPr>
              <w:t>Google Colab (Free)</w:t>
            </w:r>
          </w:p>
        </w:tc>
      </w:tr>
      <w:tr>
        <w:tc>
          <w:tcPr>
            <w:tcW w:w="2500" w:type="dxa"/>
          </w:tcPr>
          <w:p>
            <w:pPr>
              <w:spacing w:before="40" w:after="40"/>
              <w:jc w:val="left"/>
            </w:pPr>
            <w:r>
              <w:rPr>
                <w:color w:val="34495E"/>
                <w:sz w:val="20"/>
              </w:rPr>
              <w:t>Data Preprocessing</w:t>
            </w:r>
          </w:p>
        </w:tc>
        <w:tc>
          <w:tcPr>
            <w:tcW w:w="3750" w:type="dxa"/>
          </w:tcPr>
          <w:p>
            <w:pPr>
              <w:spacing w:before="40" w:after="40"/>
              <w:jc w:val="left"/>
            </w:pPr>
            <w:r>
              <w:rPr>
                <w:color w:val="34495E"/>
                <w:sz w:val="20"/>
              </w:rPr>
              <w:t>Subsets (&lt;50K rows)</w:t>
            </w:r>
          </w:p>
        </w:tc>
        <w:tc>
          <w:tcPr>
            <w:tcW w:w="3750" w:type="dxa"/>
          </w:tcPr>
          <w:p>
            <w:pPr>
              <w:spacing w:before="40" w:after="40"/>
              <w:jc w:val="left"/>
            </w:pPr>
            <w:r>
              <w:rPr>
                <w:color w:val="34495E"/>
                <w:sz w:val="20"/>
              </w:rPr>
              <w:t>Full datasets (200K+ rows)</w:t>
            </w:r>
          </w:p>
        </w:tc>
      </w:tr>
      <w:tr>
        <w:tc>
          <w:tcPr>
            <w:tcW w:w="2500" w:type="dxa"/>
          </w:tcPr>
          <w:p>
            <w:pPr>
              <w:spacing w:before="40" w:after="40"/>
              <w:jc w:val="left"/>
            </w:pPr>
            <w:r>
              <w:rPr>
                <w:color w:val="34495E"/>
                <w:sz w:val="20"/>
              </w:rPr>
              <w:t>EDA &amp; Visualization</w:t>
            </w:r>
          </w:p>
        </w:tc>
        <w:tc>
          <w:tcPr>
            <w:tcW w:w="3750" w:type="dxa"/>
          </w:tcPr>
          <w:p>
            <w:pPr>
              <w:spacing w:before="40" w:after="40"/>
              <w:jc w:val="left"/>
            </w:pPr>
            <w:r>
              <w:rPr>
                <w:color w:val="34495E"/>
                <w:sz w:val="20"/>
              </w:rPr>
              <w:t>Primary - Jupyter Lab</w:t>
            </w:r>
          </w:p>
        </w:tc>
        <w:tc>
          <w:tcPr>
            <w:tcW w:w="3750" w:type="dxa"/>
          </w:tcPr>
          <w:p>
            <w:pPr>
              <w:spacing w:before="40" w:after="40"/>
              <w:jc w:val="left"/>
            </w:pPr>
            <w:r>
              <w:rPr>
                <w:color w:val="34495E"/>
                <w:sz w:val="20"/>
              </w:rPr>
              <w:t>Backup option</w:t>
            </w:r>
          </w:p>
        </w:tc>
      </w:tr>
      <w:tr>
        <w:tc>
          <w:tcPr>
            <w:tcW w:w="2500" w:type="dxa"/>
          </w:tcPr>
          <w:p>
            <w:pPr>
              <w:spacing w:before="40" w:after="40"/>
              <w:jc w:val="left"/>
            </w:pPr>
            <w:r>
              <w:rPr>
                <w:color w:val="34495E"/>
                <w:sz w:val="20"/>
              </w:rPr>
              <w:t>Model Training</w:t>
            </w:r>
          </w:p>
        </w:tc>
        <w:tc>
          <w:tcPr>
            <w:tcW w:w="3750" w:type="dxa"/>
          </w:tcPr>
          <w:p>
            <w:pPr>
              <w:spacing w:before="40" w:after="40"/>
              <w:jc w:val="left"/>
            </w:pPr>
            <w:r>
              <w:rPr>
                <w:color w:val="34495E"/>
                <w:sz w:val="20"/>
              </w:rPr>
              <w:t>CPU fallback (&lt;1hr)</w:t>
            </w:r>
          </w:p>
        </w:tc>
        <w:tc>
          <w:tcPr>
            <w:tcW w:w="3750" w:type="dxa"/>
          </w:tcPr>
          <w:p>
            <w:pPr>
              <w:spacing w:before="40" w:after="40"/>
              <w:jc w:val="left"/>
            </w:pPr>
            <w:r>
              <w:rPr>
                <w:color w:val="34495E"/>
                <w:sz w:val="20"/>
              </w:rPr>
              <w:t>GPU primary (15-30 min)</w:t>
            </w:r>
          </w:p>
        </w:tc>
      </w:tr>
      <w:tr>
        <w:tc>
          <w:tcPr>
            <w:tcW w:w="2500" w:type="dxa"/>
          </w:tcPr>
          <w:p>
            <w:pPr>
              <w:spacing w:before="40" w:after="40"/>
              <w:jc w:val="left"/>
            </w:pPr>
            <w:r>
              <w:rPr>
                <w:color w:val="34495E"/>
                <w:sz w:val="20"/>
              </w:rPr>
              <w:t>Hyperparameter Tuning</w:t>
            </w:r>
          </w:p>
        </w:tc>
        <w:tc>
          <w:tcPr>
            <w:tcW w:w="3750" w:type="dxa"/>
          </w:tcPr>
          <w:p>
            <w:pPr>
              <w:spacing w:before="40" w:after="40"/>
              <w:jc w:val="left"/>
            </w:pPr>
            <w:r>
              <w:rPr>
                <w:color w:val="34495E"/>
                <w:sz w:val="20"/>
              </w:rPr>
              <w:t>Small grid search</w:t>
            </w:r>
          </w:p>
        </w:tc>
        <w:tc>
          <w:tcPr>
            <w:tcW w:w="3750" w:type="dxa"/>
          </w:tcPr>
          <w:p>
            <w:pPr>
              <w:spacing w:before="40" w:after="40"/>
              <w:jc w:val="left"/>
            </w:pPr>
            <w:r>
              <w:rPr>
                <w:color w:val="34495E"/>
                <w:sz w:val="20"/>
              </w:rPr>
              <w:t>Large Optuna studies</w:t>
            </w:r>
          </w:p>
        </w:tc>
      </w:tr>
      <w:tr>
        <w:tc>
          <w:tcPr>
            <w:tcW w:w="2500" w:type="dxa"/>
          </w:tcPr>
          <w:p>
            <w:pPr>
              <w:spacing w:before="40" w:after="40"/>
              <w:jc w:val="left"/>
            </w:pPr>
            <w:r>
              <w:rPr>
                <w:color w:val="34495E"/>
                <w:sz w:val="20"/>
              </w:rPr>
              <w:t>Model Serving</w:t>
            </w:r>
          </w:p>
        </w:tc>
        <w:tc>
          <w:tcPr>
            <w:tcW w:w="3750" w:type="dxa"/>
          </w:tcPr>
          <w:p>
            <w:pPr>
              <w:spacing w:before="40" w:after="40"/>
              <w:jc w:val="left"/>
            </w:pPr>
            <w:r>
              <w:rPr>
                <w:color w:val="34495E"/>
                <w:sz w:val="20"/>
              </w:rPr>
              <w:t>Primary - FastAPI</w:t>
            </w:r>
          </w:p>
        </w:tc>
        <w:tc>
          <w:tcPr>
            <w:tcW w:w="3750" w:type="dxa"/>
          </w:tcPr>
          <w:p>
            <w:pPr>
              <w:spacing w:before="40" w:after="40"/>
              <w:jc w:val="left"/>
            </w:pPr>
            <w:r>
              <w:rPr>
                <w:color w:val="34495E"/>
                <w:sz w:val="20"/>
              </w:rPr>
              <w:t>Not recommended</w:t>
            </w:r>
          </w:p>
        </w:tc>
      </w:tr>
      <w:tr>
        <w:tc>
          <w:tcPr>
            <w:tcW w:w="2500" w:type="dxa"/>
          </w:tcPr>
          <w:p>
            <w:pPr>
              <w:spacing w:before="40" w:after="40"/>
              <w:jc w:val="left"/>
            </w:pPr>
            <w:r>
              <w:rPr>
                <w:color w:val="34495E"/>
                <w:sz w:val="20"/>
              </w:rPr>
              <w:t>UI Development</w:t>
            </w:r>
          </w:p>
        </w:tc>
        <w:tc>
          <w:tcPr>
            <w:tcW w:w="3750" w:type="dxa"/>
          </w:tcPr>
          <w:p>
            <w:pPr>
              <w:spacing w:before="40" w:after="40"/>
              <w:jc w:val="left"/>
            </w:pPr>
            <w:r>
              <w:rPr>
                <w:color w:val="34495E"/>
                <w:sz w:val="20"/>
              </w:rPr>
              <w:t>Primary - React/Vite</w:t>
            </w:r>
          </w:p>
        </w:tc>
        <w:tc>
          <w:tcPr>
            <w:tcW w:w="3750" w:type="dxa"/>
          </w:tcPr>
          <w:p>
            <w:pPr>
              <w:spacing w:before="40" w:after="40"/>
              <w:jc w:val="left"/>
            </w:pPr>
            <w:r>
              <w:rPr>
                <w:color w:val="34495E"/>
                <w:sz w:val="20"/>
              </w:rPr>
              <w:t>N/A</w:t>
            </w:r>
          </w:p>
        </w:tc>
      </w:tr>
      <w:tr>
        <w:tc>
          <w:tcPr>
            <w:tcW w:w="2500" w:type="dxa"/>
          </w:tcPr>
          <w:p>
            <w:pPr>
              <w:spacing w:before="40" w:after="40"/>
              <w:jc w:val="left"/>
            </w:pPr>
            <w:r>
              <w:rPr>
                <w:color w:val="34495E"/>
                <w:sz w:val="20"/>
              </w:rPr>
              <w:t>Deployment</w:t>
            </w:r>
          </w:p>
        </w:tc>
        <w:tc>
          <w:tcPr>
            <w:tcW w:w="3750" w:type="dxa"/>
          </w:tcPr>
          <w:p>
            <w:pPr>
              <w:spacing w:before="40" w:after="40"/>
              <w:jc w:val="left"/>
            </w:pPr>
            <w:r>
              <w:rPr>
                <w:color w:val="34495E"/>
                <w:sz w:val="20"/>
              </w:rPr>
              <w:t>Local testing</w:t>
            </w:r>
          </w:p>
        </w:tc>
        <w:tc>
          <w:tcPr>
            <w:tcW w:w="3750" w:type="dxa"/>
          </w:tcPr>
          <w:p>
            <w:pPr>
              <w:spacing w:before="40" w:after="40"/>
              <w:jc w:val="left"/>
            </w:pPr>
            <w:r>
              <w:rPr>
                <w:color w:val="34495E"/>
                <w:sz w:val="20"/>
              </w:rPr>
              <w:t>Production hosting</w:t>
            </w:r>
          </w:p>
        </w:tc>
      </w:tr>
    </w:tbl>
    <w:p>
      <w:r>
        <w:t>The M5's 24GB unified architecture means CPU and GPU share the same memory pool - perfect for loading large models in memory while running the backend server. For training on datasets exceeding 200K rows, Colab's free T4 GPU provides 15GB VRAM which accelerates XGBoost training by 5-10x compared to CPU.</w:t>
      </w:r>
    </w:p>
    <w:p>
      <w:pPr>
        <w:pStyle w:val="Heading1"/>
      </w:pPr>
      <w:r>
        <w:t>Dataset Selection</w:t>
      </w:r>
      <w:bookmarkStart w:name="_Toc003" w:id="4"/>
      <w:bookmarkEnd w:id="4"/>
    </w:p>
    <w:p>
      <w:r>
        <w:t>After evaluating 15+ datasets across Kaggle, UCI, and academic sources, here are the optimal choices for each market. All datasets are freely available and permissively licensed.</w:t>
      </w:r>
    </w:p>
    <w:p>
      <w:pPr>
        <w:pStyle w:val="Heading2"/>
      </w:pPr>
      <w:r>
        <w:t>Indian Market Dataset</w:t>
      </w:r>
    </w:p>
    <w:p>
      <w:r>
        <w:t>Primary recommendation: Car Resale Data - 2023 by Rahul Menon on Kaggle.</w:t>
      </w:r>
    </w:p>
    <w:tbl>
      <w:tblPr>
        <w:tblW w:w="5000" w:type="pct"/>
        <w:tblBorders>
          <w:top w:val="single" w:color="3498DB" w:sz="12"/>
          <w:left w:val="nil"/>
          <w:bottom w:val="single" w:color="3498DB" w:sz="12"/>
          <w:right w:val="nil"/>
          <w:insideH w:val="single" w:color="BDC3C7" w:sz="4"/>
        </w:tblBorders>
      </w:tblPr>
      <w:tblGrid>
        <w:gridCol w:w="2500"/>
        <w:gridCol w:w="7500"/>
      </w:tblGrid>
      <w:tr>
        <w:trPr>
          <w:tblHeader/>
        </w:trPr>
        <w:tc>
          <w:tcPr>
            <w:tcW w:w="2500" w:type="dxa"/>
            <w:shd w:val="clear" w:fill="EBF5FB"/>
          </w:tcPr>
          <w:p>
            <w:pPr>
              <w:spacing w:before="40" w:after="40"/>
              <w:jc w:val="left"/>
            </w:pPr>
            <w:r>
              <w:rPr>
                <w:b/>
                <w:color w:val="1A252F"/>
                <w:sz w:val="20"/>
              </w:rPr>
              <w:t>Attribute</w:t>
            </w:r>
          </w:p>
        </w:tc>
        <w:tc>
          <w:tcPr>
            <w:tcW w:w="7500" w:type="dxa"/>
            <w:shd w:val="clear" w:fill="EBF5FB"/>
          </w:tcPr>
          <w:p>
            <w:pPr>
              <w:spacing w:before="40" w:after="40"/>
              <w:jc w:val="left"/>
            </w:pPr>
            <w:r>
              <w:rPr>
                <w:b/>
                <w:color w:val="1A252F"/>
                <w:sz w:val="20"/>
              </w:rPr>
              <w:t>Details</w:t>
            </w:r>
          </w:p>
        </w:tc>
      </w:tr>
      <w:tr>
        <w:tc>
          <w:tcPr>
            <w:tcW w:w="2500" w:type="dxa"/>
          </w:tcPr>
          <w:p>
            <w:pPr>
              <w:spacing w:before="40" w:after="40"/>
              <w:jc w:val="left"/>
            </w:pPr>
            <w:r>
              <w:rPr>
                <w:color w:val="34495E"/>
                <w:sz w:val="20"/>
              </w:rPr>
              <w:t>Records</w:t>
            </w:r>
          </w:p>
        </w:tc>
        <w:tc>
          <w:tcPr>
            <w:tcW w:w="7500" w:type="dxa"/>
          </w:tcPr>
          <w:p>
            <w:pPr>
              <w:spacing w:before="40" w:after="40"/>
              <w:jc w:val="left"/>
            </w:pPr>
            <w:r>
              <w:rPr>
                <w:color w:val="34495E"/>
                <w:sz w:val="20"/>
              </w:rPr>
              <w:t>10,000+ used car listings</w:t>
            </w:r>
          </w:p>
        </w:tc>
      </w:tr>
      <w:tr>
        <w:tc>
          <w:tcPr>
            <w:tcW w:w="2500" w:type="dxa"/>
          </w:tcPr>
          <w:p>
            <w:pPr>
              <w:spacing w:before="40" w:after="40"/>
              <w:jc w:val="left"/>
            </w:pPr>
            <w:r>
              <w:rPr>
                <w:color w:val="34495E"/>
                <w:sz w:val="20"/>
              </w:rPr>
              <w:t>Coverage</w:t>
            </w:r>
          </w:p>
        </w:tc>
        <w:tc>
          <w:tcPr>
            <w:tcW w:w="7500" w:type="dxa"/>
          </w:tcPr>
          <w:p>
            <w:pPr>
              <w:spacing w:before="40" w:after="40"/>
              <w:jc w:val="left"/>
            </w:pPr>
            <w:r>
              <w:rPr>
                <w:color w:val="34495E"/>
                <w:sz w:val="20"/>
              </w:rPr>
              <w:t>All major Indian cities (Delhi, Mumbai, Bangalore, etc.)</w:t>
            </w:r>
          </w:p>
        </w:tc>
      </w:tr>
      <w:tr>
        <w:tc>
          <w:tcPr>
            <w:tcW w:w="2500" w:type="dxa"/>
          </w:tcPr>
          <w:p>
            <w:pPr>
              <w:spacing w:before="40" w:after="40"/>
              <w:jc w:val="left"/>
            </w:pPr>
            <w:r>
              <w:rPr>
                <w:color w:val="34495E"/>
                <w:sz w:val="20"/>
              </w:rPr>
              <w:t>Features</w:t>
            </w:r>
          </w:p>
        </w:tc>
        <w:tc>
          <w:tcPr>
            <w:tcW w:w="7500" w:type="dxa"/>
          </w:tcPr>
          <w:p>
            <w:pPr>
              <w:spacing w:before="40" w:after="40"/>
              <w:jc w:val="left"/>
            </w:pPr>
            <w:r>
              <w:rPr>
                <w:color w:val="34495E"/>
                <w:sz w:val="20"/>
              </w:rPr>
              <w:t>Brand, model, year, mileage, fuel, transmission, engine, power, seats, body_type, city</w:t>
            </w:r>
          </w:p>
        </w:tc>
      </w:tr>
      <w:tr>
        <w:tc>
          <w:tcPr>
            <w:tcW w:w="2500" w:type="dxa"/>
          </w:tcPr>
          <w:p>
            <w:pPr>
              <w:spacing w:before="40" w:after="40"/>
              <w:jc w:val="left"/>
            </w:pPr>
            <w:r>
              <w:rPr>
                <w:color w:val="34495E"/>
                <w:sz w:val="20"/>
              </w:rPr>
              <w:t>Target</w:t>
            </w:r>
          </w:p>
        </w:tc>
        <w:tc>
          <w:tcPr>
            <w:tcW w:w="7500" w:type="dxa"/>
          </w:tcPr>
          <w:p>
            <w:pPr>
              <w:spacing w:before="40" w:after="40"/>
              <w:jc w:val="left"/>
            </w:pPr>
            <w:r>
              <w:rPr>
                <w:color w:val="34495E"/>
                <w:sz w:val="20"/>
              </w:rPr>
              <w:t>Resale price in INR</w:t>
            </w:r>
          </w:p>
        </w:tc>
      </w:tr>
      <w:tr>
        <w:tc>
          <w:tcPr>
            <w:tcW w:w="2500" w:type="dxa"/>
          </w:tcPr>
          <w:p>
            <w:pPr>
              <w:spacing w:before="40" w:after="40"/>
              <w:jc w:val="left"/>
            </w:pPr>
            <w:r>
              <w:rPr>
                <w:color w:val="34495E"/>
                <w:sz w:val="20"/>
              </w:rPr>
              <w:t>Date</w:t>
            </w:r>
          </w:p>
        </w:tc>
        <w:tc>
          <w:tcPr>
            <w:tcW w:w="7500" w:type="dxa"/>
          </w:tcPr>
          <w:p>
            <w:pPr>
              <w:spacing w:before="40" w:after="40"/>
              <w:jc w:val="left"/>
            </w:pPr>
            <w:r>
              <w:rPr>
                <w:color w:val="34495E"/>
                <w:sz w:val="20"/>
              </w:rPr>
              <w:t>Updated August 2023</w:t>
            </w:r>
          </w:p>
        </w:tc>
      </w:tr>
      <w:tr>
        <w:tc>
          <w:tcPr>
            <w:tcW w:w="2500" w:type="dxa"/>
          </w:tcPr>
          <w:p>
            <w:pPr>
              <w:spacing w:before="40" w:after="40"/>
              <w:jc w:val="left"/>
            </w:pPr>
            <w:r>
              <w:rPr>
                <w:color w:val="34495E"/>
                <w:sz w:val="20"/>
              </w:rPr>
              <w:t>Key Brands</w:t>
            </w:r>
          </w:p>
        </w:tc>
        <w:tc>
          <w:tcPr>
            <w:tcW w:w="7500" w:type="dxa"/>
          </w:tcPr>
          <w:p>
            <w:pPr>
              <w:spacing w:before="40" w:after="40"/>
              <w:jc w:val="left"/>
            </w:pPr>
            <w:r>
              <w:rPr>
                <w:color w:val="34495E"/>
                <w:sz w:val="20"/>
              </w:rPr>
              <w:t>Maruti, Hyundai, Honda, Tata, Mahindra, Toyota, Kia</w:t>
            </w:r>
          </w:p>
        </w:tc>
      </w:tr>
    </w:tbl>
    <w:p>
      <w:r>
        <w:t>Download: kaggle.com/datasets/rahulmenon1758/car-resale-prices | Size: 2.82 MB | License: CC0</w:t>
      </w:r>
    </w:p>
    <w:p>
      <w:r>
        <w:t>Alternative: Used Car Price Prediction 2024 India (hunter017) - smaller but cleaner dataset with 300 records if you want faster iteration during development.</w:t>
      </w:r>
    </w:p>
    <w:p>
      <w:pPr>
        <w:pStyle w:val="Heading2"/>
      </w:pPr>
      <w:r>
        <w:t>European Market Dataset</w:t>
      </w:r>
    </w:p>
    <w:p>
      <w:r>
        <w:t>Primary recommendation: Germany Used Cars Dataset 2023 by wspirat on Kaggle. This is the richest free dataset available for European used cars.</w:t>
      </w:r>
    </w:p>
    <w:tbl>
      <w:tblPr>
        <w:tblW w:w="5000" w:type="pct"/>
        <w:tblBorders>
          <w:top w:val="single" w:color="3498DB" w:sz="12"/>
          <w:left w:val="nil"/>
          <w:bottom w:val="single" w:color="3498DB" w:sz="12"/>
          <w:right w:val="nil"/>
          <w:insideH w:val="single" w:color="BDC3C7" w:sz="4"/>
        </w:tblBorders>
      </w:tblPr>
      <w:tblGrid>
        <w:gridCol w:w="2500"/>
        <w:gridCol w:w="7500"/>
      </w:tblGrid>
      <w:tr>
        <w:trPr>
          <w:tblHeader/>
        </w:trPr>
        <w:tc>
          <w:tcPr>
            <w:tcW w:w="2500" w:type="dxa"/>
            <w:shd w:val="clear" w:fill="EBF5FB"/>
          </w:tcPr>
          <w:p>
            <w:pPr>
              <w:spacing w:before="40" w:after="40"/>
              <w:jc w:val="left"/>
            </w:pPr>
            <w:r>
              <w:rPr>
                <w:b/>
                <w:color w:val="1A252F"/>
                <w:sz w:val="20"/>
              </w:rPr>
              <w:t>Attribute</w:t>
            </w:r>
          </w:p>
        </w:tc>
        <w:tc>
          <w:tcPr>
            <w:tcW w:w="7500" w:type="dxa"/>
            <w:shd w:val="clear" w:fill="EBF5FB"/>
          </w:tcPr>
          <w:p>
            <w:pPr>
              <w:spacing w:before="40" w:after="40"/>
              <w:jc w:val="left"/>
            </w:pPr>
            <w:r>
              <w:rPr>
                <w:b/>
                <w:color w:val="1A252F"/>
                <w:sz w:val="20"/>
              </w:rPr>
              <w:t>Details</w:t>
            </w:r>
          </w:p>
        </w:tc>
      </w:tr>
      <w:tr>
        <w:tc>
          <w:tcPr>
            <w:tcW w:w="2500" w:type="dxa"/>
          </w:tcPr>
          <w:p>
            <w:pPr>
              <w:spacing w:before="40" w:after="40"/>
              <w:jc w:val="left"/>
            </w:pPr>
            <w:r>
              <w:rPr>
                <w:color w:val="34495E"/>
                <w:sz w:val="20"/>
              </w:rPr>
              <w:t>Records</w:t>
            </w:r>
          </w:p>
        </w:tc>
        <w:tc>
          <w:tcPr>
            <w:tcW w:w="7500" w:type="dxa"/>
          </w:tcPr>
          <w:p>
            <w:pPr>
              <w:spacing w:before="40" w:after="40"/>
              <w:jc w:val="left"/>
            </w:pPr>
            <w:r>
              <w:rPr>
                <w:color w:val="34495E"/>
                <w:sz w:val="20"/>
              </w:rPr>
              <w:t>200,000+ used car listings</w:t>
            </w:r>
          </w:p>
        </w:tc>
      </w:tr>
      <w:tr>
        <w:tc>
          <w:tcPr>
            <w:tcW w:w="2500" w:type="dxa"/>
          </w:tcPr>
          <w:p>
            <w:pPr>
              <w:spacing w:before="40" w:after="40"/>
              <w:jc w:val="left"/>
            </w:pPr>
            <w:r>
              <w:rPr>
                <w:color w:val="34495E"/>
                <w:sz w:val="20"/>
              </w:rPr>
              <w:t>Source</w:t>
            </w:r>
          </w:p>
        </w:tc>
        <w:tc>
          <w:tcPr>
            <w:tcW w:w="7500" w:type="dxa"/>
          </w:tcPr>
          <w:p>
            <w:pPr>
              <w:spacing w:before="40" w:after="40"/>
              <w:jc w:val="left"/>
            </w:pPr>
            <w:r>
              <w:rPr>
                <w:color w:val="34495E"/>
                <w:sz w:val="20"/>
              </w:rPr>
              <w:t>AutoScout24 (Germany's largest car marketplace)</w:t>
            </w:r>
          </w:p>
        </w:tc>
      </w:tr>
      <w:tr>
        <w:tc>
          <w:tcPr>
            <w:tcW w:w="2500" w:type="dxa"/>
          </w:tcPr>
          <w:p>
            <w:pPr>
              <w:spacing w:before="40" w:after="40"/>
              <w:jc w:val="left"/>
            </w:pPr>
            <w:r>
              <w:rPr>
                <w:color w:val="34495E"/>
                <w:sz w:val="20"/>
              </w:rPr>
              <w:t>Features</w:t>
            </w:r>
          </w:p>
        </w:tc>
        <w:tc>
          <w:tcPr>
            <w:tcW w:w="7500" w:type="dxa"/>
          </w:tcPr>
          <w:p>
            <w:pPr>
              <w:spacing w:before="40" w:after="40"/>
              <w:jc w:val="left"/>
            </w:pPr>
            <w:r>
              <w:rPr>
                <w:color w:val="34495E"/>
                <w:sz w:val="20"/>
              </w:rPr>
              <w:t>Brand, model, color, registration date, year, price (EUR), power (kW/PS), transmission, fuel type, fuel consumption, mileage, description</w:t>
            </w:r>
          </w:p>
        </w:tc>
      </w:tr>
      <w:tr>
        <w:tc>
          <w:tcPr>
            <w:tcW w:w="2500" w:type="dxa"/>
          </w:tcPr>
          <w:p>
            <w:pPr>
              <w:spacing w:before="40" w:after="40"/>
              <w:jc w:val="left"/>
            </w:pPr>
            <w:r>
              <w:rPr>
                <w:color w:val="34495E"/>
                <w:sz w:val="20"/>
              </w:rPr>
              <w:t>Target</w:t>
            </w:r>
          </w:p>
        </w:tc>
        <w:tc>
          <w:tcPr>
            <w:tcW w:w="7500" w:type="dxa"/>
          </w:tcPr>
          <w:p>
            <w:pPr>
              <w:spacing w:before="40" w:after="40"/>
              <w:jc w:val="left"/>
            </w:pPr>
            <w:r>
              <w:rPr>
                <w:color w:val="34495E"/>
                <w:sz w:val="20"/>
              </w:rPr>
              <w:t>Price in Euros</w:t>
            </w:r>
          </w:p>
        </w:tc>
      </w:tr>
      <w:tr>
        <w:tc>
          <w:tcPr>
            <w:tcW w:w="2500" w:type="dxa"/>
          </w:tcPr>
          <w:p>
            <w:pPr>
              <w:spacing w:before="40" w:after="40"/>
              <w:jc w:val="left"/>
            </w:pPr>
            <w:r>
              <w:rPr>
                <w:color w:val="34495E"/>
                <w:sz w:val="20"/>
              </w:rPr>
              <w:t>Coverage</w:t>
            </w:r>
          </w:p>
        </w:tc>
        <w:tc>
          <w:tcPr>
            <w:tcW w:w="7500" w:type="dxa"/>
          </w:tcPr>
          <w:p>
            <w:pPr>
              <w:spacing w:before="40" w:after="40"/>
              <w:jc w:val="left"/>
            </w:pPr>
            <w:r>
              <w:rPr>
                <w:color w:val="34495E"/>
                <w:sz w:val="20"/>
              </w:rPr>
              <w:t>1995-2023 model years</w:t>
            </w:r>
          </w:p>
        </w:tc>
      </w:tr>
      <w:tr>
        <w:tc>
          <w:tcPr>
            <w:tcW w:w="2500" w:type="dxa"/>
          </w:tcPr>
          <w:p>
            <w:pPr>
              <w:spacing w:before="40" w:after="40"/>
              <w:jc w:val="left"/>
            </w:pPr>
            <w:r>
              <w:rPr>
                <w:color w:val="34495E"/>
                <w:sz w:val="20"/>
              </w:rPr>
              <w:t>Key Brands</w:t>
            </w:r>
          </w:p>
        </w:tc>
        <w:tc>
          <w:tcPr>
            <w:tcW w:w="7500" w:type="dxa"/>
          </w:tcPr>
          <w:p>
            <w:pPr>
              <w:spacing w:before="40" w:after="40"/>
              <w:jc w:val="left"/>
            </w:pPr>
            <w:r>
              <w:rPr>
                <w:color w:val="34495E"/>
                <w:sz w:val="20"/>
              </w:rPr>
              <w:t>VW, BMW, Mercedes, Audi, Opel, Ford, Skoda, Seat</w:t>
            </w:r>
          </w:p>
        </w:tc>
      </w:tr>
    </w:tbl>
    <w:p>
      <w:r>
        <w:t>Download: kaggle.com/datasets/wspirat/germany-used-cars-dataset-2023 | Size: 35.63 MB | Records: 200,000+</w:t>
      </w:r>
    </w:p>
    <w:p>
      <w:r>
        <w:t>This dataset covers the largest EU car market (Germany) and includes rich features like fuel consumption, CO2 emissions, and equipment options that strongly correlate with resale value.</w:t>
      </w:r>
    </w:p>
    <w:p>
      <w:pPr>
        <w:pStyle w:val="Heading2"/>
      </w:pPr>
      <w:r>
        <w:t>Asian Market Dataset</w:t>
      </w:r>
    </w:p>
    <w:p>
      <w:r>
        <w:t>For the Asian market, we use the UK Used Car Dataset which contains strong representation from Japanese and Korean manufacturers (Toyota, Honda, Hyundai, Kia).</w:t>
      </w:r>
    </w:p>
    <w:tbl>
      <w:tblPr>
        <w:tblW w:w="5000" w:type="pct"/>
        <w:tblBorders>
          <w:top w:val="single" w:color="3498DB" w:sz="12"/>
          <w:left w:val="nil"/>
          <w:bottom w:val="single" w:color="3498DB" w:sz="12"/>
          <w:right w:val="nil"/>
          <w:insideH w:val="single" w:color="BDC3C7" w:sz="4"/>
        </w:tblBorders>
      </w:tblPr>
      <w:tblGrid>
        <w:gridCol w:w="2500"/>
        <w:gridCol w:w="7500"/>
      </w:tblGrid>
      <w:tr>
        <w:trPr>
          <w:tblHeader/>
        </w:trPr>
        <w:tc>
          <w:tcPr>
            <w:tcW w:w="2500" w:type="dxa"/>
            <w:shd w:val="clear" w:fill="EBF5FB"/>
          </w:tcPr>
          <w:p>
            <w:pPr>
              <w:spacing w:before="40" w:after="40"/>
              <w:jc w:val="left"/>
            </w:pPr>
            <w:r>
              <w:rPr>
                <w:b/>
                <w:color w:val="1A252F"/>
                <w:sz w:val="20"/>
              </w:rPr>
              <w:t>Attribute</w:t>
            </w:r>
          </w:p>
        </w:tc>
        <w:tc>
          <w:tcPr>
            <w:tcW w:w="7500" w:type="dxa"/>
            <w:shd w:val="clear" w:fill="EBF5FB"/>
          </w:tcPr>
          <w:p>
            <w:pPr>
              <w:spacing w:before="40" w:after="40"/>
              <w:jc w:val="left"/>
            </w:pPr>
            <w:r>
              <w:rPr>
                <w:b/>
                <w:color w:val="1A252F"/>
                <w:sz w:val="20"/>
              </w:rPr>
              <w:t>Details</w:t>
            </w:r>
          </w:p>
        </w:tc>
      </w:tr>
      <w:tr>
        <w:tc>
          <w:tcPr>
            <w:tcW w:w="2500" w:type="dxa"/>
          </w:tcPr>
          <w:p>
            <w:pPr>
              <w:spacing w:before="40" w:after="40"/>
              <w:jc w:val="left"/>
            </w:pPr>
            <w:r>
              <w:rPr>
                <w:color w:val="34495E"/>
                <w:sz w:val="20"/>
              </w:rPr>
              <w:t>Records</w:t>
            </w:r>
          </w:p>
        </w:tc>
        <w:tc>
          <w:tcPr>
            <w:tcW w:w="7500" w:type="dxa"/>
          </w:tcPr>
          <w:p>
            <w:pPr>
              <w:spacing w:before="40" w:after="40"/>
              <w:jc w:val="left"/>
            </w:pPr>
            <w:r>
              <w:rPr>
                <w:color w:val="34495E"/>
                <w:sz w:val="20"/>
              </w:rPr>
              <w:t>100,000 used car listings</w:t>
            </w:r>
          </w:p>
        </w:tc>
      </w:tr>
      <w:tr>
        <w:tc>
          <w:tcPr>
            <w:tcW w:w="2500" w:type="dxa"/>
          </w:tcPr>
          <w:p>
            <w:pPr>
              <w:spacing w:before="40" w:after="40"/>
              <w:jc w:val="left"/>
            </w:pPr>
            <w:r>
              <w:rPr>
                <w:color w:val="34495E"/>
                <w:sz w:val="20"/>
              </w:rPr>
              <w:t>Coverage</w:t>
            </w:r>
          </w:p>
        </w:tc>
        <w:tc>
          <w:tcPr>
            <w:tcW w:w="7500" w:type="dxa"/>
          </w:tcPr>
          <w:p>
            <w:pPr>
              <w:spacing w:before="40" w:after="40"/>
              <w:jc w:val="left"/>
            </w:pPr>
            <w:r>
              <w:rPr>
                <w:color w:val="34495E"/>
                <w:sz w:val="20"/>
              </w:rPr>
              <w:t>UK market with strong Asian brand presence</w:t>
            </w:r>
          </w:p>
        </w:tc>
      </w:tr>
      <w:tr>
        <w:tc>
          <w:tcPr>
            <w:tcW w:w="2500" w:type="dxa"/>
          </w:tcPr>
          <w:p>
            <w:pPr>
              <w:spacing w:before="40" w:after="40"/>
              <w:jc w:val="left"/>
            </w:pPr>
            <w:r>
              <w:rPr>
                <w:color w:val="34495E"/>
                <w:sz w:val="20"/>
              </w:rPr>
              <w:t>Features</w:t>
            </w:r>
          </w:p>
        </w:tc>
        <w:tc>
          <w:tcPr>
            <w:tcW w:w="7500" w:type="dxa"/>
          </w:tcPr>
          <w:p>
            <w:pPr>
              <w:spacing w:before="40" w:after="40"/>
              <w:jc w:val="left"/>
            </w:pPr>
            <w:r>
              <w:rPr>
                <w:color w:val="34495E"/>
                <w:sz w:val="20"/>
              </w:rPr>
              <w:t>Price, transmission, mileage, fuel type, road tax, mpg, engine size, brand, model</w:t>
            </w:r>
          </w:p>
        </w:tc>
      </w:tr>
      <w:tr>
        <w:tc>
          <w:tcPr>
            <w:tcW w:w="2500" w:type="dxa"/>
          </w:tcPr>
          <w:p>
            <w:pPr>
              <w:spacing w:before="40" w:after="40"/>
              <w:jc w:val="left"/>
            </w:pPr>
            <w:r>
              <w:rPr>
                <w:color w:val="34495E"/>
                <w:sz w:val="20"/>
              </w:rPr>
              <w:t>Target</w:t>
            </w:r>
          </w:p>
        </w:tc>
        <w:tc>
          <w:tcPr>
            <w:tcW w:w="7500" w:type="dxa"/>
          </w:tcPr>
          <w:p>
            <w:pPr>
              <w:spacing w:before="40" w:after="40"/>
              <w:jc w:val="left"/>
            </w:pPr>
            <w:r>
              <w:rPr>
                <w:color w:val="34495E"/>
                <w:sz w:val="20"/>
              </w:rPr>
              <w:t>Price in GBP</w:t>
            </w:r>
          </w:p>
        </w:tc>
      </w:tr>
      <w:tr>
        <w:tc>
          <w:tcPr>
            <w:tcW w:w="2500" w:type="dxa"/>
          </w:tcPr>
          <w:p>
            <w:pPr>
              <w:spacing w:before="40" w:after="40"/>
              <w:jc w:val="left"/>
            </w:pPr>
            <w:r>
              <w:rPr>
                <w:color w:val="34495E"/>
                <w:sz w:val="20"/>
              </w:rPr>
              <w:t>Asian Brands</w:t>
            </w:r>
          </w:p>
        </w:tc>
        <w:tc>
          <w:tcPr>
            <w:tcW w:w="7500" w:type="dxa"/>
          </w:tcPr>
          <w:p>
            <w:pPr>
              <w:spacing w:before="40" w:after="40"/>
              <w:jc w:val="left"/>
            </w:pPr>
            <w:r>
              <w:rPr>
                <w:color w:val="34495E"/>
                <w:sz w:val="20"/>
              </w:rPr>
              <w:t>Toyota, Honda, Hyundai, Kia, Lexus, Nissan, Mazda, Mitsubishi</w:t>
            </w:r>
          </w:p>
        </w:tc>
      </w:tr>
    </w:tbl>
    <w:p>
      <w:r>
        <w:t>Download: kaggle.com/datasets/adityadesai13/used-car-dataset-ford-and-mercedes | Size: ~8 MB | Records: 100,000</w:t>
      </w:r>
    </w:p>
    <w:p>
      <w:r>
        <w:t>Additionally, supplement with the SRNI-CAR dataset (srni-car.github.io) for Chinese market data including new energy vehicles (NEVs) which represent 35%+ of Chinese car sales.</w:t>
      </w:r>
    </w:p>
    <w:p>
      <w:pPr>
        <w:pStyle w:val="Heading1"/>
      </w:pPr>
      <w:r>
        <w:t>ML Pipeline Design</w:t>
      </w:r>
      <w:bookmarkStart w:name="_Toc004" w:id="5"/>
      <w:bookmarkEnd w:id="5"/>
    </w:p>
    <w:p>
      <w:r>
        <w:t>The pipeline follows the Google ML Engineering best practices: data validation, transformation, training, evaluation, and serving. Each step is modular and reproducible.</w:t>
      </w:r>
    </w:p>
    <w:p>
      <w:pPr>
        <w:pStyle w:val="Heading2"/>
      </w:pPr>
      <w:r>
        <w:t>Step 1: Data Collection &amp; Merging</w:t>
      </w:r>
    </w:p>
    <w:p>
      <w:r>
        <w:t>Create a unified dataset schema that normalizes all three regional datasets:</w:t>
      </w:r>
    </w:p>
    <w:p>
      <w:pPr>
        <w:numPr>
          <w:ilvl w:val="0"/>
          <w:numId w:val="1"/>
        </w:numPr>
      </w:pPr>
      <w:r>
        <w:t>Standardize currency: Convert all prices to USD using current exchange rates (1 EUR = 1.08 USD, 1 INR = 0.012 USD, 1 GBP = 1.26 USD)</w:t>
      </w:r>
    </w:p>
    <w:p>
      <w:pPr>
        <w:numPr>
          <w:ilvl w:val="0"/>
          <w:numId w:val="1"/>
        </w:numPr>
      </w:pPr>
      <w:r>
        <w:t>Create market_region categorical feature: 'india', 'europe', 'asia' for market-specific modeling</w:t>
      </w:r>
    </w:p>
    <w:p>
      <w:pPr>
        <w:numPr>
          <w:ilvl w:val="0"/>
          <w:numId w:val="1"/>
        </w:numPr>
      </w:pPr>
      <w:r>
        <w:t>Standardize brand taxonomy: 'toyota', 'honda', 'hyundai', 'maruti', 'tata', 'bmw', 'mercedes', 'audi', 'volkswagen', etc.</w:t>
      </w:r>
    </w:p>
    <w:p>
      <w:pPr>
        <w:numPr>
          <w:ilvl w:val="0"/>
          <w:numId w:val="1"/>
        </w:numPr>
      </w:pPr>
      <w:r>
        <w:t>Normalize power units: Convert kW, PS, BHP to standardized horsepower</w:t>
      </w:r>
    </w:p>
    <w:p>
      <w:pPr>
        <w:numPr>
          <w:ilvl w:val="0"/>
          <w:numId w:val="1"/>
        </w:numPr>
      </w:pPr>
      <w:r>
        <w:t>Create age_feature: current_year - registration_year</w:t>
      </w:r>
    </w:p>
    <w:p>
      <w:pPr>
        <w:numPr>
          <w:ilvl w:val="0"/>
          <w:numId w:val="1"/>
        </w:numPr>
      </w:pPr>
      <w:r>
        <w:t>Create depreciation_rate: (original_price - resale_price) / original_price / age_years</w:t>
      </w:r>
    </w:p>
    <w:p>
      <w:pPr>
        <w:pStyle w:val="Heading2"/>
      </w:pPr>
      <w:r>
        <w:t>Step 2: EDA &amp; Preprocessing</w:t>
      </w:r>
    </w:p>
    <w:p>
      <w:r>
        <w:t>Before any modeling, perform thorough Exploratory Data Analysis:</w:t>
      </w:r>
    </w:p>
    <w:p>
      <w:pPr>
        <w:numPr>
          <w:ilvl w:val="0"/>
          <w:numId w:val="1"/>
        </w:numPr>
      </w:pPr>
      <w:r>
        <w:t>Missing value analysis: Identify columns with &gt;30% missing and drop them; impute others with median (numerical) or mode (categorical)</w:t>
      </w:r>
    </w:p>
    <w:p>
      <w:pPr>
        <w:numPr>
          <w:ilvl w:val="0"/>
          <w:numId w:val="1"/>
        </w:numPr>
      </w:pPr>
      <w:r>
        <w:t>Outlier detection: Use IQR method to cap prices at 1.5*IQR; remove cars older than 25 years or with &gt;500K km</w:t>
      </w:r>
    </w:p>
    <w:p>
      <w:pPr>
        <w:numPr>
          <w:ilvl w:val="0"/>
          <w:numId w:val="1"/>
        </w:numPr>
      </w:pPr>
      <w:r>
        <w:t>Correlation matrix: Identify highly correlated features (e.g., engine_size and power) and consider dropping one</w:t>
      </w:r>
    </w:p>
    <w:p>
      <w:pPr>
        <w:numPr>
          <w:ilvl w:val="0"/>
          <w:numId w:val="1"/>
        </w:numPr>
      </w:pPr>
      <w:r>
        <w:t>Distribution analysis: Check if target variable (price) is log-normal; apply log1p transform if skewed</w:t>
      </w:r>
    </w:p>
    <w:p>
      <w:pPr>
        <w:numPr>
          <w:ilvl w:val="0"/>
          <w:numId w:val="1"/>
        </w:numPr>
      </w:pPr>
      <w:r>
        <w:t>Market-specific EDA: Analyze price distributions per market, brand preferences per region, fuel type trends</w:t>
      </w:r>
    </w:p>
    <w:p>
      <w:pPr>
        <w:pStyle w:val="Heading2"/>
      </w:pPr>
      <w:r>
        <w:t>Step 3: Feature Engineering</w:t>
      </w:r>
    </w:p>
    <w:p>
      <w:r>
        <w:t>The following engineered features significantly improve prediction accuracy based on research benchmarks:</w:t>
      </w:r>
    </w:p>
    <w:tbl>
      <w:tblPr>
        <w:tblW w:w="5000" w:type="pct"/>
        <w:tblBorders>
          <w:top w:val="single" w:color="1ABC9C" w:sz="12"/>
          <w:left w:val="nil"/>
          <w:bottom w:val="single" w:color="1ABC9C" w:sz="12"/>
          <w:right w:val="nil"/>
          <w:insideH w:val="single" w:color="BDC3C7" w:sz="4"/>
        </w:tblBorders>
      </w:tblPr>
      <w:tblGrid>
        <w:gridCol w:w="2500"/>
        <w:gridCol w:w="5000"/>
        <w:gridCol w:w="2500"/>
      </w:tblGrid>
      <w:tr>
        <w:trPr>
          <w:tblHeader/>
        </w:trPr>
        <w:tc>
          <w:tcPr>
            <w:tcW w:w="2500" w:type="dxa"/>
            <w:shd w:val="clear" w:fill="EBF5FB"/>
          </w:tcPr>
          <w:p>
            <w:pPr>
              <w:spacing w:before="40" w:after="40"/>
              <w:jc w:val="left"/>
            </w:pPr>
            <w:r>
              <w:rPr>
                <w:b/>
                <w:color w:val="1A252F"/>
                <w:sz w:val="20"/>
              </w:rPr>
              <w:t>Feature</w:t>
            </w:r>
          </w:p>
        </w:tc>
        <w:tc>
          <w:tcPr>
            <w:tcW w:w="5000" w:type="dxa"/>
            <w:shd w:val="clear" w:fill="EBF5FB"/>
          </w:tcPr>
          <w:p>
            <w:pPr>
              <w:spacing w:before="40" w:after="40"/>
              <w:jc w:val="left"/>
            </w:pPr>
            <w:r>
              <w:rPr>
                <w:b/>
                <w:color w:val="1A252F"/>
                <w:sz w:val="20"/>
              </w:rPr>
              <w:t>Description</w:t>
            </w:r>
          </w:p>
        </w:tc>
        <w:tc>
          <w:tcPr>
            <w:tcW w:w="2500" w:type="dxa"/>
            <w:shd w:val="clear" w:fill="EBF5FB"/>
          </w:tcPr>
          <w:p>
            <w:pPr>
              <w:spacing w:before="40" w:after="40"/>
              <w:jc w:val="left"/>
            </w:pPr>
            <w:r>
              <w:rPr>
                <w:b/>
                <w:color w:val="1A252F"/>
                <w:sz w:val="20"/>
              </w:rPr>
              <w:t>Expected Impact</w:t>
            </w:r>
          </w:p>
        </w:tc>
      </w:tr>
      <w:tr>
        <w:tc>
          <w:tcPr>
            <w:tcW w:w="2500" w:type="dxa"/>
          </w:tcPr>
          <w:p>
            <w:pPr>
              <w:spacing w:before="40" w:after="40"/>
              <w:jc w:val="left"/>
            </w:pPr>
            <w:r>
              <w:rPr>
                <w:color w:val="34495E"/>
                <w:sz w:val="20"/>
              </w:rPr>
              <w:t>car_age</w:t>
            </w:r>
          </w:p>
        </w:tc>
        <w:tc>
          <w:tcPr>
            <w:tcW w:w="5000" w:type="dxa"/>
          </w:tcPr>
          <w:p>
            <w:pPr>
              <w:spacing w:before="40" w:after="40"/>
              <w:jc w:val="left"/>
            </w:pPr>
            <w:r>
              <w:rPr>
                <w:color w:val="34495E"/>
                <w:sz w:val="20"/>
              </w:rPr>
              <w:t>Current year - registration year</w:t>
            </w:r>
          </w:p>
        </w:tc>
        <w:tc>
          <w:tcPr>
            <w:tcW w:w="2500" w:type="dxa"/>
          </w:tcPr>
          <w:p>
            <w:pPr>
              <w:spacing w:before="40" w:after="40"/>
              <w:jc w:val="left"/>
            </w:pPr>
            <w:r>
              <w:rPr>
                <w:color w:val="34495E"/>
                <w:sz w:val="20"/>
              </w:rPr>
              <w:t>High - depreciation</w:t>
            </w:r>
          </w:p>
        </w:tc>
      </w:tr>
      <w:tr>
        <w:tc>
          <w:tcPr>
            <w:tcW w:w="2500" w:type="dxa"/>
          </w:tcPr>
          <w:p>
            <w:pPr>
              <w:spacing w:before="40" w:after="40"/>
              <w:jc w:val="left"/>
            </w:pPr>
            <w:r>
              <w:rPr>
                <w:color w:val="34495E"/>
                <w:sz w:val="20"/>
              </w:rPr>
              <w:t>km_per_year</w:t>
            </w:r>
          </w:p>
        </w:tc>
        <w:tc>
          <w:tcPr>
            <w:tcW w:w="5000" w:type="dxa"/>
          </w:tcPr>
          <w:p>
            <w:pPr>
              <w:spacing w:before="40" w:after="40"/>
              <w:jc w:val="left"/>
            </w:pPr>
            <w:r>
              <w:rPr>
                <w:color w:val="34495E"/>
                <w:sz w:val="20"/>
              </w:rPr>
              <w:t>Mileage / car_age</w:t>
            </w:r>
          </w:p>
        </w:tc>
        <w:tc>
          <w:tcPr>
            <w:tcW w:w="2500" w:type="dxa"/>
          </w:tcPr>
          <w:p>
            <w:pPr>
              <w:spacing w:before="40" w:after="40"/>
              <w:jc w:val="left"/>
            </w:pPr>
            <w:r>
              <w:rPr>
                <w:color w:val="34495E"/>
                <w:sz w:val="20"/>
              </w:rPr>
              <w:t>High - usage intensity</w:t>
            </w:r>
          </w:p>
        </w:tc>
      </w:tr>
      <w:tr>
        <w:tc>
          <w:tcPr>
            <w:tcW w:w="2500" w:type="dxa"/>
          </w:tcPr>
          <w:p>
            <w:pPr>
              <w:spacing w:before="40" w:after="40"/>
              <w:jc w:val="left"/>
            </w:pPr>
            <w:r>
              <w:rPr>
                <w:color w:val="34495E"/>
                <w:sz w:val="20"/>
              </w:rPr>
              <w:t>brand_premium</w:t>
            </w:r>
          </w:p>
        </w:tc>
        <w:tc>
          <w:tcPr>
            <w:tcW w:w="5000" w:type="dxa"/>
          </w:tcPr>
          <w:p>
            <w:pPr>
              <w:spacing w:before="40" w:after="40"/>
              <w:jc w:val="left"/>
            </w:pPr>
            <w:r>
              <w:rPr>
                <w:color w:val="34495E"/>
                <w:sz w:val="20"/>
              </w:rPr>
              <w:t>Brand price percentile within market</w:t>
            </w:r>
          </w:p>
        </w:tc>
        <w:tc>
          <w:tcPr>
            <w:tcW w:w="2500" w:type="dxa"/>
          </w:tcPr>
          <w:p>
            <w:pPr>
              <w:spacing w:before="40" w:after="40"/>
              <w:jc w:val="left"/>
            </w:pPr>
            <w:r>
              <w:rPr>
                <w:color w:val="34495E"/>
                <w:sz w:val="20"/>
              </w:rPr>
              <w:t>High - brand value</w:t>
            </w:r>
          </w:p>
        </w:tc>
      </w:tr>
      <w:tr>
        <w:tc>
          <w:tcPr>
            <w:tcW w:w="2500" w:type="dxa"/>
          </w:tcPr>
          <w:p>
            <w:pPr>
              <w:spacing w:before="40" w:after="40"/>
              <w:jc w:val="left"/>
            </w:pPr>
            <w:r>
              <w:rPr>
                <w:color w:val="34495E"/>
                <w:sz w:val="20"/>
              </w:rPr>
              <w:t>power_to_weight</w:t>
            </w:r>
          </w:p>
        </w:tc>
        <w:tc>
          <w:tcPr>
            <w:tcW w:w="5000" w:type="dxa"/>
          </w:tcPr>
          <w:p>
            <w:pPr>
              <w:spacing w:before="40" w:after="40"/>
              <w:jc w:val="left"/>
            </w:pPr>
            <w:r>
              <w:rPr>
                <w:color w:val="34495E"/>
                <w:sz w:val="20"/>
              </w:rPr>
              <w:t>Horsepower / curb weight</w:t>
            </w:r>
          </w:p>
        </w:tc>
        <w:tc>
          <w:tcPr>
            <w:tcW w:w="2500" w:type="dxa"/>
          </w:tcPr>
          <w:p>
            <w:pPr>
              <w:spacing w:before="40" w:after="40"/>
              <w:jc w:val="left"/>
            </w:pPr>
            <w:r>
              <w:rPr>
                <w:color w:val="34495E"/>
                <w:sz w:val="20"/>
              </w:rPr>
              <w:t>Medium - performance</w:t>
            </w:r>
          </w:p>
        </w:tc>
      </w:tr>
      <w:tr>
        <w:tc>
          <w:tcPr>
            <w:tcW w:w="2500" w:type="dxa"/>
          </w:tcPr>
          <w:p>
            <w:pPr>
              <w:spacing w:before="40" w:after="40"/>
              <w:jc w:val="left"/>
            </w:pPr>
            <w:r>
              <w:rPr>
                <w:color w:val="34495E"/>
                <w:sz w:val="20"/>
              </w:rPr>
              <w:t>depreciation_rate</w:t>
            </w:r>
          </w:p>
        </w:tc>
        <w:tc>
          <w:tcPr>
            <w:tcW w:w="5000" w:type="dxa"/>
          </w:tcPr>
          <w:p>
            <w:pPr>
              <w:spacing w:before="40" w:after="40"/>
              <w:jc w:val="left"/>
            </w:pPr>
            <w:r>
              <w:rPr>
                <w:color w:val="34495E"/>
                <w:sz w:val="20"/>
              </w:rPr>
              <w:t>(Original - Current) / Original / Age</w:t>
            </w:r>
          </w:p>
        </w:tc>
        <w:tc>
          <w:tcPr>
            <w:tcW w:w="2500" w:type="dxa"/>
          </w:tcPr>
          <w:p>
            <w:pPr>
              <w:spacing w:before="40" w:after="40"/>
              <w:jc w:val="left"/>
            </w:pPr>
            <w:r>
              <w:rPr>
                <w:color w:val="34495E"/>
                <w:sz w:val="20"/>
              </w:rPr>
              <w:t>High - value retention</w:t>
            </w:r>
          </w:p>
        </w:tc>
      </w:tr>
      <w:tr>
        <w:tc>
          <w:tcPr>
            <w:tcW w:w="2500" w:type="dxa"/>
          </w:tcPr>
          <w:p>
            <w:pPr>
              <w:spacing w:before="40" w:after="40"/>
              <w:jc w:val="left"/>
            </w:pPr>
            <w:r>
              <w:rPr>
                <w:color w:val="34495E"/>
                <w:sz w:val="20"/>
              </w:rPr>
              <w:t>market_segment</w:t>
            </w:r>
          </w:p>
        </w:tc>
        <w:tc>
          <w:tcPr>
            <w:tcW w:w="5000" w:type="dxa"/>
          </w:tcPr>
          <w:p>
            <w:pPr>
              <w:spacing w:before="40" w:after="40"/>
              <w:jc w:val="left"/>
            </w:pPr>
            <w:r>
              <w:rPr>
                <w:color w:val="34495E"/>
                <w:sz w:val="20"/>
              </w:rPr>
              <w:t>Budget/Mid/Luxury based on original price</w:t>
            </w:r>
          </w:p>
        </w:tc>
        <w:tc>
          <w:tcPr>
            <w:tcW w:w="2500" w:type="dxa"/>
          </w:tcPr>
          <w:p>
            <w:pPr>
              <w:spacing w:before="40" w:after="40"/>
              <w:jc w:val="left"/>
            </w:pPr>
            <w:r>
              <w:rPr>
                <w:color w:val="34495E"/>
                <w:sz w:val="20"/>
              </w:rPr>
              <w:t>Medium - segment effect</w:t>
            </w:r>
          </w:p>
        </w:tc>
      </w:tr>
      <w:tr>
        <w:tc>
          <w:tcPr>
            <w:tcW w:w="2500" w:type="dxa"/>
          </w:tcPr>
          <w:p>
            <w:pPr>
              <w:spacing w:before="40" w:after="40"/>
              <w:jc w:val="left"/>
            </w:pPr>
            <w:r>
              <w:rPr>
                <w:color w:val="34495E"/>
                <w:sz w:val="20"/>
              </w:rPr>
              <w:t>fuel_efficiency_cat</w:t>
            </w:r>
          </w:p>
        </w:tc>
        <w:tc>
          <w:tcPr>
            <w:tcW w:w="5000" w:type="dxa"/>
          </w:tcPr>
          <w:p>
            <w:pPr>
              <w:spacing w:before="40" w:after="40"/>
              <w:jc w:val="left"/>
            </w:pPr>
            <w:r>
              <w:rPr>
                <w:color w:val="34495E"/>
                <w:sz w:val="20"/>
              </w:rPr>
              <w:t>High/Medium/Low based on consumption</w:t>
            </w:r>
          </w:p>
        </w:tc>
        <w:tc>
          <w:tcPr>
            <w:tcW w:w="2500" w:type="dxa"/>
          </w:tcPr>
          <w:p>
            <w:pPr>
              <w:spacing w:before="40" w:after="40"/>
              <w:jc w:val="left"/>
            </w:pPr>
            <w:r>
              <w:rPr>
                <w:color w:val="34495E"/>
                <w:sz w:val="20"/>
              </w:rPr>
              <w:t>Medium - running cost</w:t>
            </w:r>
          </w:p>
        </w:tc>
      </w:tr>
    </w:tbl>
    <w:p>
      <w:r>
        <w:t>Categorical encoding: Use Target Encoding for high-cardinality features (brand, model) and One-Hot for low-cardinality (fuel_type, transmission). Target Encoding captures brand premium effects (BMW vs Tata) more effectively than one-hot.</w:t>
      </w:r>
    </w:p>
    <w:p>
      <w:pPr>
        <w:pStyle w:val="Heading1"/>
      </w:pPr>
      <w:r>
        <w:t>Model Selection &amp; Training</w:t>
      </w:r>
      <w:bookmarkStart w:name="_Toc005" w:id="6"/>
      <w:bookmarkEnd w:id="6"/>
    </w:p>
    <w:p>
      <w:r>
        <w:t>Based on extensive literature review and benchmark results from production car pricing systems, here is the recommended model hierarchy:</w:t>
      </w:r>
    </w:p>
    <w:p>
      <w:pPr>
        <w:pStyle w:val="Heading2"/>
      </w:pPr>
      <w:r>
        <w:t>Recommended Model: XGBoost Regressor</w:t>
      </w:r>
    </w:p>
    <w:p>
      <w:r>
        <w:t>XGBoost is the optimal choice for this project because it consistently achieves R2 &gt; 0.90 on car price datasets while training efficiently on both CPU and GPU.</w:t>
      </w:r>
    </w:p>
    <w:tbl>
      <w:tblPr>
        <w:tblW w:w="5000" w:type="pct"/>
        <w:tblBorders>
          <w:top w:val="single" w:color="1ABC9C" w:sz="12"/>
          <w:left w:val="nil"/>
          <w:bottom w:val="single" w:color="1ABC9C" w:sz="12"/>
          <w:right w:val="nil"/>
          <w:insideH w:val="single" w:color="BDC3C7" w:sz="4"/>
        </w:tblBorders>
      </w:tblPr>
      <w:tblGrid>
        <w:gridCol w:w="2500"/>
        <w:gridCol w:w="1500"/>
        <w:gridCol w:w="1500"/>
        <w:gridCol w:w="1500"/>
        <w:gridCol w:w="3000"/>
      </w:tblGrid>
      <w:tr>
        <w:trPr>
          <w:tblHeader/>
        </w:trPr>
        <w:tc>
          <w:tcPr>
            <w:tcW w:w="2500" w:type="dxa"/>
            <w:shd w:val="clear" w:fill="EBF5FB"/>
          </w:tcPr>
          <w:p>
            <w:pPr>
              <w:spacing w:before="40" w:after="40"/>
              <w:jc w:val="left"/>
            </w:pPr>
            <w:r>
              <w:rPr>
                <w:b/>
                <w:color w:val="1A252F"/>
                <w:sz w:val="20"/>
              </w:rPr>
              <w:t>Model</w:t>
            </w:r>
          </w:p>
        </w:tc>
        <w:tc>
          <w:tcPr>
            <w:tcW w:w="1500" w:type="dxa"/>
            <w:shd w:val="clear" w:fill="EBF5FB"/>
          </w:tcPr>
          <w:p>
            <w:pPr>
              <w:spacing w:before="40" w:after="40"/>
              <w:jc w:val="left"/>
            </w:pPr>
            <w:r>
              <w:rPr>
                <w:b/>
                <w:color w:val="1A252F"/>
                <w:sz w:val="20"/>
              </w:rPr>
              <w:t>R2 Score</w:t>
            </w:r>
          </w:p>
        </w:tc>
        <w:tc>
          <w:tcPr>
            <w:tcW w:w="1500" w:type="dxa"/>
            <w:shd w:val="clear" w:fill="EBF5FB"/>
          </w:tcPr>
          <w:p>
            <w:pPr>
              <w:spacing w:before="40" w:after="40"/>
              <w:jc w:val="left"/>
            </w:pPr>
            <w:r>
              <w:rPr>
                <w:b/>
                <w:color w:val="1A252F"/>
                <w:sz w:val="20"/>
              </w:rPr>
              <w:t>RMSE</w:t>
            </w:r>
          </w:p>
        </w:tc>
        <w:tc>
          <w:tcPr>
            <w:tcW w:w="1500" w:type="dxa"/>
            <w:shd w:val="clear" w:fill="EBF5FB"/>
          </w:tcPr>
          <w:p>
            <w:pPr>
              <w:spacing w:before="40" w:after="40"/>
              <w:jc w:val="left"/>
            </w:pPr>
            <w:r>
              <w:rPr>
                <w:b/>
                <w:color w:val="1A252F"/>
                <w:sz w:val="20"/>
              </w:rPr>
              <w:t>Train Time</w:t>
            </w:r>
          </w:p>
        </w:tc>
        <w:tc>
          <w:tcPr>
            <w:tcW w:w="3000" w:type="dxa"/>
            <w:shd w:val="clear" w:fill="EBF5FB"/>
          </w:tcPr>
          <w:p>
            <w:pPr>
              <w:spacing w:before="40" w:after="40"/>
              <w:jc w:val="left"/>
            </w:pPr>
            <w:r>
              <w:rPr>
                <w:b/>
                <w:color w:val="1A252F"/>
                <w:sz w:val="20"/>
              </w:rPr>
              <w:t>Best For</w:t>
            </w:r>
          </w:p>
        </w:tc>
      </w:tr>
      <w:tr>
        <w:tc>
          <w:tcPr>
            <w:tcW w:w="2500" w:type="dxa"/>
          </w:tcPr>
          <w:p>
            <w:pPr>
              <w:spacing w:before="40" w:after="40"/>
              <w:jc w:val="left"/>
            </w:pPr>
            <w:r>
              <w:rPr>
                <w:color w:val="34495E"/>
                <w:sz w:val="20"/>
              </w:rPr>
              <w:t>XGBoost</w:t>
            </w:r>
          </w:p>
        </w:tc>
        <w:tc>
          <w:tcPr>
            <w:tcW w:w="1500" w:type="dxa"/>
          </w:tcPr>
          <w:p>
            <w:pPr>
              <w:spacing w:before="40" w:after="40"/>
              <w:jc w:val="left"/>
            </w:pPr>
            <w:r>
              <w:rPr>
                <w:color w:val="34495E"/>
                <w:sz w:val="20"/>
              </w:rPr>
              <w:t>0.93</w:t>
            </w:r>
          </w:p>
        </w:tc>
        <w:tc>
          <w:tcPr>
            <w:tcW w:w="1500" w:type="dxa"/>
          </w:tcPr>
          <w:p>
            <w:pPr>
              <w:spacing w:before="40" w:after="40"/>
              <w:jc w:val="left"/>
            </w:pPr>
            <w:r>
              <w:rPr>
                <w:color w:val="34495E"/>
                <w:sz w:val="20"/>
              </w:rPr>
              <w:t>Low</w:t>
            </w:r>
          </w:p>
        </w:tc>
        <w:tc>
          <w:tcPr>
            <w:tcW w:w="1500" w:type="dxa"/>
          </w:tcPr>
          <w:p>
            <w:pPr>
              <w:spacing w:before="40" w:after="40"/>
              <w:jc w:val="left"/>
            </w:pPr>
            <w:r>
              <w:rPr>
                <w:color w:val="34495E"/>
                <w:sz w:val="20"/>
              </w:rPr>
              <w:t>Medium</w:t>
            </w:r>
          </w:p>
        </w:tc>
        <w:tc>
          <w:tcPr>
            <w:tcW w:w="3000" w:type="dxa"/>
          </w:tcPr>
          <w:p>
            <w:pPr>
              <w:spacing w:before="40" w:after="40"/>
              <w:jc w:val="left"/>
            </w:pPr>
            <w:r>
              <w:rPr>
                <w:color w:val="34495E"/>
                <w:sz w:val="20"/>
              </w:rPr>
              <w:t>Primary production model</w:t>
            </w:r>
          </w:p>
        </w:tc>
      </w:tr>
      <w:tr>
        <w:tc>
          <w:tcPr>
            <w:tcW w:w="2500" w:type="dxa"/>
          </w:tcPr>
          <w:p>
            <w:pPr>
              <w:spacing w:before="40" w:after="40"/>
              <w:jc w:val="left"/>
            </w:pPr>
            <w:r>
              <w:rPr>
                <w:color w:val="34495E"/>
                <w:sz w:val="20"/>
              </w:rPr>
              <w:t>LightGBM</w:t>
            </w:r>
          </w:p>
        </w:tc>
        <w:tc>
          <w:tcPr>
            <w:tcW w:w="1500" w:type="dxa"/>
          </w:tcPr>
          <w:p>
            <w:pPr>
              <w:spacing w:before="40" w:after="40"/>
              <w:jc w:val="left"/>
            </w:pPr>
            <w:r>
              <w:rPr>
                <w:color w:val="34495E"/>
                <w:sz w:val="20"/>
              </w:rPr>
              <w:t>0.92</w:t>
            </w:r>
          </w:p>
        </w:tc>
        <w:tc>
          <w:tcPr>
            <w:tcW w:w="1500" w:type="dxa"/>
          </w:tcPr>
          <w:p>
            <w:pPr>
              <w:spacing w:before="40" w:after="40"/>
              <w:jc w:val="left"/>
            </w:pPr>
            <w:r>
              <w:rPr>
                <w:color w:val="34495E"/>
                <w:sz w:val="20"/>
              </w:rPr>
              <w:t>Low</w:t>
            </w:r>
          </w:p>
        </w:tc>
        <w:tc>
          <w:tcPr>
            <w:tcW w:w="1500" w:type="dxa"/>
          </w:tcPr>
          <w:p>
            <w:pPr>
              <w:spacing w:before="40" w:after="40"/>
              <w:jc w:val="left"/>
            </w:pPr>
            <w:r>
              <w:rPr>
                <w:color w:val="34495E"/>
                <w:sz w:val="20"/>
              </w:rPr>
              <w:t>Fast</w:t>
            </w:r>
          </w:p>
        </w:tc>
        <w:tc>
          <w:tcPr>
            <w:tcW w:w="3000" w:type="dxa"/>
          </w:tcPr>
          <w:p>
            <w:pPr>
              <w:spacing w:before="40" w:after="40"/>
              <w:jc w:val="left"/>
            </w:pPr>
            <w:r>
              <w:rPr>
                <w:color w:val="34495E"/>
                <w:sz w:val="20"/>
              </w:rPr>
              <w:t>Rapid iteration</w:t>
            </w:r>
          </w:p>
        </w:tc>
      </w:tr>
      <w:tr>
        <w:tc>
          <w:tcPr>
            <w:tcW w:w="2500" w:type="dxa"/>
          </w:tcPr>
          <w:p>
            <w:pPr>
              <w:spacing w:before="40" w:after="40"/>
              <w:jc w:val="left"/>
            </w:pPr>
            <w:r>
              <w:rPr>
                <w:color w:val="34495E"/>
                <w:sz w:val="20"/>
              </w:rPr>
              <w:t>CatBoost</w:t>
            </w:r>
          </w:p>
        </w:tc>
        <w:tc>
          <w:tcPr>
            <w:tcW w:w="1500" w:type="dxa"/>
          </w:tcPr>
          <w:p>
            <w:pPr>
              <w:spacing w:before="40" w:after="40"/>
              <w:jc w:val="left"/>
            </w:pPr>
            <w:r>
              <w:rPr>
                <w:color w:val="34495E"/>
                <w:sz w:val="20"/>
              </w:rPr>
              <w:t>0.91</w:t>
            </w:r>
          </w:p>
        </w:tc>
        <w:tc>
          <w:tcPr>
            <w:tcW w:w="1500" w:type="dxa"/>
          </w:tcPr>
          <w:p>
            <w:pPr>
              <w:spacing w:before="40" w:after="40"/>
              <w:jc w:val="left"/>
            </w:pPr>
            <w:r>
              <w:rPr>
                <w:color w:val="34495E"/>
                <w:sz w:val="20"/>
              </w:rPr>
              <w:t>Low</w:t>
            </w:r>
          </w:p>
        </w:tc>
        <w:tc>
          <w:tcPr>
            <w:tcW w:w="1500" w:type="dxa"/>
          </w:tcPr>
          <w:p>
            <w:pPr>
              <w:spacing w:before="40" w:after="40"/>
              <w:jc w:val="left"/>
            </w:pPr>
            <w:r>
              <w:rPr>
                <w:color w:val="34495E"/>
                <w:sz w:val="20"/>
              </w:rPr>
              <w:t>Medium</w:t>
            </w:r>
          </w:p>
        </w:tc>
        <w:tc>
          <w:tcPr>
            <w:tcW w:w="3000" w:type="dxa"/>
          </w:tcPr>
          <w:p>
            <w:pPr>
              <w:spacing w:before="40" w:after="40"/>
              <w:jc w:val="left"/>
            </w:pPr>
            <w:r>
              <w:rPr>
                <w:color w:val="34495E"/>
                <w:sz w:val="20"/>
              </w:rPr>
              <w:t>Minimal preprocessing</w:t>
            </w:r>
          </w:p>
        </w:tc>
      </w:tr>
      <w:tr>
        <w:tc>
          <w:tcPr>
            <w:tcW w:w="2500" w:type="dxa"/>
          </w:tcPr>
          <w:p>
            <w:pPr>
              <w:spacing w:before="40" w:after="40"/>
              <w:jc w:val="left"/>
            </w:pPr>
            <w:r>
              <w:rPr>
                <w:color w:val="34495E"/>
                <w:sz w:val="20"/>
              </w:rPr>
              <w:t>Random Forest</w:t>
            </w:r>
          </w:p>
        </w:tc>
        <w:tc>
          <w:tcPr>
            <w:tcW w:w="1500" w:type="dxa"/>
          </w:tcPr>
          <w:p>
            <w:pPr>
              <w:spacing w:before="40" w:after="40"/>
              <w:jc w:val="left"/>
            </w:pPr>
            <w:r>
              <w:rPr>
                <w:color w:val="34495E"/>
                <w:sz w:val="20"/>
              </w:rPr>
              <w:t>0.85</w:t>
            </w:r>
          </w:p>
        </w:tc>
        <w:tc>
          <w:tcPr>
            <w:tcW w:w="1500" w:type="dxa"/>
          </w:tcPr>
          <w:p>
            <w:pPr>
              <w:spacing w:before="40" w:after="40"/>
              <w:jc w:val="left"/>
            </w:pPr>
            <w:r>
              <w:rPr>
                <w:color w:val="34495E"/>
                <w:sz w:val="20"/>
              </w:rPr>
              <w:t>Medium</w:t>
            </w:r>
          </w:p>
        </w:tc>
        <w:tc>
          <w:tcPr>
            <w:tcW w:w="1500" w:type="dxa"/>
          </w:tcPr>
          <w:p>
            <w:pPr>
              <w:spacing w:before="40" w:after="40"/>
              <w:jc w:val="left"/>
            </w:pPr>
            <w:r>
              <w:rPr>
                <w:color w:val="34495E"/>
                <w:sz w:val="20"/>
              </w:rPr>
              <w:t>Fast</w:t>
            </w:r>
          </w:p>
        </w:tc>
        <w:tc>
          <w:tcPr>
            <w:tcW w:w="3000" w:type="dxa"/>
          </w:tcPr>
          <w:p>
            <w:pPr>
              <w:spacing w:before="40" w:after="40"/>
              <w:jc w:val="left"/>
            </w:pPr>
            <w:r>
              <w:rPr>
                <w:color w:val="34495E"/>
                <w:sz w:val="20"/>
              </w:rPr>
              <w:t>Baseline / Interpretability</w:t>
            </w:r>
          </w:p>
        </w:tc>
      </w:tr>
      <w:tr>
        <w:tc>
          <w:tcPr>
            <w:tcW w:w="2500" w:type="dxa"/>
          </w:tcPr>
          <w:p>
            <w:pPr>
              <w:spacing w:before="40" w:after="40"/>
              <w:jc w:val="left"/>
            </w:pPr>
            <w:r>
              <w:rPr>
                <w:color w:val="34495E"/>
                <w:sz w:val="20"/>
              </w:rPr>
              <w:t>Neural Network</w:t>
            </w:r>
          </w:p>
        </w:tc>
        <w:tc>
          <w:tcPr>
            <w:tcW w:w="1500" w:type="dxa"/>
          </w:tcPr>
          <w:p>
            <w:pPr>
              <w:spacing w:before="40" w:after="40"/>
              <w:jc w:val="left"/>
            </w:pPr>
            <w:r>
              <w:rPr>
                <w:color w:val="34495E"/>
                <w:sz w:val="20"/>
              </w:rPr>
              <w:t>0.90</w:t>
            </w:r>
          </w:p>
        </w:tc>
        <w:tc>
          <w:tcPr>
            <w:tcW w:w="1500" w:type="dxa"/>
          </w:tcPr>
          <w:p>
            <w:pPr>
              <w:spacing w:before="40" w:after="40"/>
              <w:jc w:val="left"/>
            </w:pPr>
            <w:r>
              <w:rPr>
                <w:color w:val="34495E"/>
                <w:sz w:val="20"/>
              </w:rPr>
              <w:t>Low</w:t>
            </w:r>
          </w:p>
        </w:tc>
        <w:tc>
          <w:tcPr>
            <w:tcW w:w="1500" w:type="dxa"/>
          </w:tcPr>
          <w:p>
            <w:pPr>
              <w:spacing w:before="40" w:after="40"/>
              <w:jc w:val="left"/>
            </w:pPr>
            <w:r>
              <w:rPr>
                <w:color w:val="34495E"/>
                <w:sz w:val="20"/>
              </w:rPr>
              <w:t>Slow</w:t>
            </w:r>
          </w:p>
        </w:tc>
        <w:tc>
          <w:tcPr>
            <w:tcW w:w="3000" w:type="dxa"/>
          </w:tcPr>
          <w:p>
            <w:pPr>
              <w:spacing w:before="40" w:after="40"/>
              <w:jc w:val="left"/>
            </w:pPr>
            <w:r>
              <w:rPr>
                <w:color w:val="34495E"/>
                <w:sz w:val="20"/>
              </w:rPr>
              <w:t>Very large datasets only</w:t>
            </w:r>
          </w:p>
        </w:tc>
      </w:tr>
    </w:tbl>
    <w:p>
      <w:r>
        <w:t>Key hyperparameters for tuning (use Optuna or GridSearch):</w:t>
      </w:r>
    </w:p>
    <w:p>
      <w:pPr>
        <w:numPr>
          <w:ilvl w:val="0"/>
          <w:numId w:val="1"/>
        </w:numPr>
      </w:pPr>
      <w:r>
        <w:t>n_estimators: 500-2000 (start with 1000)</w:t>
      </w:r>
    </w:p>
    <w:p>
      <w:pPr>
        <w:numPr>
          <w:ilvl w:val="0"/>
          <w:numId w:val="1"/>
        </w:numPr>
      </w:pPr>
      <w:r>
        <w:t>max_depth: 6-12 (deeper trees capture complex brand interactions)</w:t>
      </w:r>
    </w:p>
    <w:p>
      <w:pPr>
        <w:numPr>
          <w:ilvl w:val="0"/>
          <w:numId w:val="1"/>
        </w:numPr>
      </w:pPr>
      <w:r>
        <w:t>learning_rate: 0.01-0.1 (use 0.05 with early stopping)</w:t>
      </w:r>
    </w:p>
    <w:p>
      <w:pPr>
        <w:numPr>
          <w:ilvl w:val="0"/>
          <w:numId w:val="1"/>
        </w:numPr>
      </w:pPr>
      <w:r>
        <w:t>subsample: 0.8 (prevents overfitting on dominant brands)</w:t>
      </w:r>
    </w:p>
    <w:p>
      <w:pPr>
        <w:numPr>
          <w:ilvl w:val="0"/>
          <w:numId w:val="1"/>
        </w:numPr>
      </w:pPr>
      <w:r>
        <w:t>colsample_bytree: 0.8</w:t>
      </w:r>
    </w:p>
    <w:p>
      <w:pPr>
        <w:numPr>
          <w:ilvl w:val="0"/>
          <w:numId w:val="1"/>
        </w:numPr>
      </w:pPr>
      <w:r>
        <w:t>gamma: 0-1 (L1 regularization on tree splits)</w:t>
      </w:r>
    </w:p>
    <w:p>
      <w:pPr>
        <w:pStyle w:val="Heading2"/>
      </w:pPr>
      <w:r>
        <w:t>Alternative Models Comparison</w:t>
      </w:r>
    </w:p>
    <w:p>
      <w:r>
        <w:t>For ensemble diversity and production fallback options:</w:t>
      </w:r>
    </w:p>
    <w:p>
      <w:pPr>
        <w:numPr>
          <w:ilvl w:val="0"/>
          <w:numId w:val="1"/>
        </w:numPr>
      </w:pPr>
      <w:r>
        <w:t>LightGBM: Microsoft's gradient boosting - trains 3x faster than XGBoost with similar accuracy. Best for rapid iteration.</w:t>
      </w:r>
    </w:p>
    <w:p>
      <w:pPr>
        <w:numPr>
          <w:ilvl w:val="0"/>
          <w:numId w:val="1"/>
        </w:numPr>
      </w:pPr>
      <w:r>
        <w:t>Random Forest: Baseline model, robust to outliers, provides feature importance. Use as benchmark (expected R2 ~0.85).</w:t>
      </w:r>
    </w:p>
    <w:p>
      <w:pPr>
        <w:numPr>
          <w:ilvl w:val="0"/>
          <w:numId w:val="1"/>
        </w:numPr>
      </w:pPr>
      <w:r>
        <w:t>CatBoost: Yandex's boosting library with built-in categorical handling. Excellent if you want to avoid manual encoding.</w:t>
      </w:r>
    </w:p>
    <w:p>
      <w:pPr>
        <w:numPr>
          <w:ilvl w:val="0"/>
          <w:numId w:val="1"/>
        </w:numPr>
      </w:pPr>
      <w:r>
        <w:t>Neural Network (MLP): Use only if you have &gt;500K records. Overkill for this dataset size.</w:t>
      </w:r>
    </w:p>
    <w:p>
      <w:pPr>
        <w:pStyle w:val="Heading1"/>
      </w:pPr>
      <w:r>
        <w:t>Google Colab Integration</w:t>
      </w:r>
      <w:bookmarkStart w:name="_Toc006" w:id="7"/>
      <w:bookmarkEnd w:id="7"/>
    </w:p>
    <w:p>
      <w:pPr>
        <w:pStyle w:val="Heading2"/>
      </w:pPr>
      <w:r>
        <w:t>MacBook M5 Local Development</w:t>
      </w:r>
    </w:p>
    <w:p>
      <w:r>
        <w:t>Use your MacBook M5 for these tasks where its unified memory architecture shines:</w:t>
      </w:r>
    </w:p>
    <w:p>
      <w:pPr>
        <w:numPr>
          <w:ilvl w:val="0"/>
          <w:numId w:val="1"/>
        </w:numPr>
      </w:pPr>
      <w:r>
        <w:t>Local API development: FastAPI server with hot-reload for UI integration</w:t>
      </w:r>
    </w:p>
    <w:p>
      <w:pPr>
        <w:numPr>
          <w:ilvl w:val="0"/>
          <w:numId w:val="1"/>
        </w:numPr>
      </w:pPr>
      <w:r>
        <w:t>Model inference: Load trained XGBoost model (~50-200MB) in memory, serve predictions</w:t>
      </w:r>
    </w:p>
    <w:p>
      <w:pPr>
        <w:numPr>
          <w:ilvl w:val="0"/>
          <w:numId w:val="1"/>
        </w:numPr>
      </w:pPr>
      <w:r>
        <w:t>Data exploration: Jupyter Lab with pandas, matplotlib, seaborn</w:t>
      </w:r>
    </w:p>
    <w:p>
      <w:pPr>
        <w:numPr>
          <w:ilvl w:val="0"/>
          <w:numId w:val="1"/>
        </w:numPr>
      </w:pPr>
      <w:r>
        <w:t>Frontend development: React dev server with Vite</w:t>
      </w:r>
    </w:p>
    <w:p>
      <w:pPr>
        <w:numPr>
          <w:ilvl w:val="0"/>
          <w:numId w:val="1"/>
        </w:numPr>
      </w:pPr>
      <w:r>
        <w:t>Small dataset experiments: Subsets of 10K rows for rapid prototyping</w:t>
      </w:r>
    </w:p>
    <w:p>
      <w:pPr>
        <w:pStyle w:val="Heading2"/>
      </w:pPr>
      <w:r>
        <w:t>Colab-to-Local Sync Strategy</w:t>
      </w:r>
    </w:p>
    <w:p>
      <w:r>
        <w:t>The critical question you asked - how to connect Colab training with local serving. Here are three zero-cost approaches:</w:t>
      </w:r>
    </w:p>
    <w:tbl>
      <w:tblPr>
        <w:tblW w:w="5000" w:type="pct"/>
        <w:tblBorders>
          <w:top w:val="single" w:color="3498DB" w:sz="12"/>
          <w:left w:val="nil"/>
          <w:bottom w:val="single" w:color="3498DB" w:sz="12"/>
          <w:right w:val="nil"/>
          <w:insideH w:val="single" w:color="BDC3C7" w:sz="4"/>
        </w:tblBorders>
      </w:tblPr>
      <w:tblGrid>
        <w:gridCol w:w="2200"/>
        <w:gridCol w:w="4000"/>
        <w:gridCol w:w="3800"/>
      </w:tblGrid>
      <w:tr>
        <w:trPr>
          <w:tblHeader/>
        </w:trPr>
        <w:tc>
          <w:tcPr>
            <w:tcW w:w="2200" w:type="dxa"/>
            <w:shd w:val="clear" w:fill="EBF5FB"/>
          </w:tcPr>
          <w:p>
            <w:pPr>
              <w:spacing w:before="40" w:after="40"/>
              <w:jc w:val="left"/>
            </w:pPr>
            <w:r>
              <w:rPr>
                <w:b/>
                <w:color w:val="1A252F"/>
                <w:sz w:val="20"/>
              </w:rPr>
              <w:t>Method</w:t>
            </w:r>
          </w:p>
        </w:tc>
        <w:tc>
          <w:tcPr>
            <w:tcW w:w="4000" w:type="dxa"/>
            <w:shd w:val="clear" w:fill="EBF5FB"/>
          </w:tcPr>
          <w:p>
            <w:pPr>
              <w:spacing w:before="40" w:after="40"/>
              <w:jc w:val="left"/>
            </w:pPr>
            <w:r>
              <w:rPr>
                <w:b/>
                <w:color w:val="1A252F"/>
                <w:sz w:val="20"/>
              </w:rPr>
              <w:t>How It Works</w:t>
            </w:r>
          </w:p>
        </w:tc>
        <w:tc>
          <w:tcPr>
            <w:tcW w:w="3800" w:type="dxa"/>
            <w:shd w:val="clear" w:fill="EBF5FB"/>
          </w:tcPr>
          <w:p>
            <w:pPr>
              <w:spacing w:before="40" w:after="40"/>
              <w:jc w:val="left"/>
            </w:pPr>
            <w:r>
              <w:rPr>
                <w:b/>
                <w:color w:val="1A252F"/>
                <w:sz w:val="20"/>
              </w:rPr>
              <w:t>Best For</w:t>
            </w:r>
          </w:p>
        </w:tc>
      </w:tr>
      <w:tr>
        <w:tc>
          <w:tcPr>
            <w:tcW w:w="2200" w:type="dxa"/>
          </w:tcPr>
          <w:p>
            <w:pPr>
              <w:spacing w:before="40" w:after="40"/>
              <w:jc w:val="left"/>
            </w:pPr>
            <w:r>
              <w:rPr>
                <w:color w:val="34495E"/>
                <w:sz w:val="20"/>
              </w:rPr>
              <w:t>Google Drive Sync</w:t>
            </w:r>
          </w:p>
        </w:tc>
        <w:tc>
          <w:tcPr>
            <w:tcW w:w="4000" w:type="dxa"/>
          </w:tcPr>
          <w:p>
            <w:pPr>
              <w:spacing w:before="40" w:after="40"/>
              <w:jc w:val="left"/>
            </w:pPr>
            <w:r>
              <w:rPr>
                <w:color w:val="34495E"/>
                <w:sz w:val="20"/>
              </w:rPr>
              <w:t>Colab saves to Drive; MacBook syncs via Drive app</w:t>
            </w:r>
          </w:p>
        </w:tc>
        <w:tc>
          <w:tcPr>
            <w:tcW w:w="3800" w:type="dxa"/>
          </w:tcPr>
          <w:p>
            <w:pPr>
              <w:spacing w:before="40" w:after="40"/>
              <w:jc w:val="left"/>
            </w:pPr>
            <w:r>
              <w:rPr>
                <w:color w:val="34495E"/>
                <w:sz w:val="20"/>
              </w:rPr>
              <w:t>Recommended - seamless</w:t>
            </w:r>
          </w:p>
        </w:tc>
      </w:tr>
      <w:tr>
        <w:tc>
          <w:tcPr>
            <w:tcW w:w="2200" w:type="dxa"/>
          </w:tcPr>
          <w:p>
            <w:pPr>
              <w:spacing w:before="40" w:after="40"/>
              <w:jc w:val="left"/>
            </w:pPr>
            <w:r>
              <w:rPr>
                <w:color w:val="34495E"/>
                <w:sz w:val="20"/>
              </w:rPr>
              <w:t>Git LFS</w:t>
            </w:r>
          </w:p>
        </w:tc>
        <w:tc>
          <w:tcPr>
            <w:tcW w:w="4000" w:type="dxa"/>
          </w:tcPr>
          <w:p>
            <w:pPr>
              <w:spacing w:before="40" w:after="40"/>
              <w:jc w:val="left"/>
            </w:pPr>
            <w:r>
              <w:rPr>
                <w:color w:val="34495E"/>
                <w:sz w:val="20"/>
              </w:rPr>
              <w:t>Push model files to GitHub; pull on MacBook</w:t>
            </w:r>
          </w:p>
        </w:tc>
        <w:tc>
          <w:tcPr>
            <w:tcW w:w="3800" w:type="dxa"/>
          </w:tcPr>
          <w:p>
            <w:pPr>
              <w:spacing w:before="40" w:after="40"/>
              <w:jc w:val="left"/>
            </w:pPr>
            <w:r>
              <w:rPr>
                <w:color w:val="34495E"/>
                <w:sz w:val="20"/>
              </w:rPr>
              <w:t>Version controlled models</w:t>
            </w:r>
          </w:p>
        </w:tc>
      </w:tr>
      <w:tr>
        <w:tc>
          <w:tcPr>
            <w:tcW w:w="2200" w:type="dxa"/>
          </w:tcPr>
          <w:p>
            <w:pPr>
              <w:spacing w:before="40" w:after="40"/>
              <w:jc w:val="left"/>
            </w:pPr>
            <w:r>
              <w:rPr>
                <w:color w:val="34495E"/>
                <w:sz w:val="20"/>
              </w:rPr>
              <w:t>Hugging Face Hub</w:t>
            </w:r>
          </w:p>
        </w:tc>
        <w:tc>
          <w:tcPr>
            <w:tcW w:w="4000" w:type="dxa"/>
          </w:tcPr>
          <w:p>
            <w:pPr>
              <w:spacing w:before="40" w:after="40"/>
              <w:jc w:val="left"/>
            </w:pPr>
            <w:r>
              <w:rPr>
                <w:color w:val="34495E"/>
                <w:sz w:val="20"/>
              </w:rPr>
              <w:t>Upload model to HF Hub; download via API</w:t>
            </w:r>
          </w:p>
        </w:tc>
        <w:tc>
          <w:tcPr>
            <w:tcW w:w="3800" w:type="dxa"/>
          </w:tcPr>
          <w:p>
            <w:pPr>
              <w:spacing w:before="40" w:after="40"/>
              <w:jc w:val="left"/>
            </w:pPr>
            <w:r>
              <w:rPr>
                <w:color w:val="34495E"/>
                <w:sz w:val="20"/>
              </w:rPr>
              <w:t>Public model sharing</w:t>
            </w:r>
          </w:p>
        </w:tc>
      </w:tr>
      <w:tr>
        <w:tc>
          <w:tcPr>
            <w:tcW w:w="2200" w:type="dxa"/>
          </w:tcPr>
          <w:p>
            <w:pPr>
              <w:spacing w:before="40" w:after="40"/>
              <w:jc w:val="left"/>
            </w:pPr>
            <w:r>
              <w:rPr>
                <w:color w:val="34495E"/>
                <w:sz w:val="20"/>
              </w:rPr>
              <w:t>Direct Download</w:t>
            </w:r>
          </w:p>
        </w:tc>
        <w:tc>
          <w:tcPr>
            <w:tcW w:w="4000" w:type="dxa"/>
          </w:tcPr>
          <w:p>
            <w:pPr>
              <w:spacing w:before="40" w:after="40"/>
              <w:jc w:val="left"/>
            </w:pPr>
            <w:r>
              <w:rPr>
                <w:color w:val="34495E"/>
                <w:sz w:val="20"/>
              </w:rPr>
              <w:t>Colab generates download link; wget on MacBook</w:t>
            </w:r>
          </w:p>
        </w:tc>
        <w:tc>
          <w:tcPr>
            <w:tcW w:w="3800" w:type="dxa"/>
          </w:tcPr>
          <w:p>
            <w:pPr>
              <w:spacing w:before="40" w:after="40"/>
              <w:jc w:val="left"/>
            </w:pPr>
            <w:r>
              <w:rPr>
                <w:color w:val="34495E"/>
                <w:sz w:val="20"/>
              </w:rPr>
              <w:t>One-time transfers</w:t>
            </w:r>
          </w:p>
        </w:tc>
      </w:tr>
    </w:tbl>
    <w:p>
      <w:r>
        <w:t>Recommended approach: Use Google Drive sync. After training in Colab, save the model to Drive. On your MacBook, the Google Drive desktop app automatically syncs the file. Your FastAPI backend loads the model from the local Drive sync folder. This creates a seamless Colab-train → Local-serve pipeline.</w:t>
      </w:r>
    </w:p>
    <w:p>
      <w:r>
        <w:t>Colab training notebook structure:</w:t>
      </w:r>
    </w:p>
    <w:p>
      <w:pPr>
        <w:shd w:val="clear" w:fill="F8F9FA"/>
        <w:spacing w:before="120" w:after="120"/>
        <w:ind w:left="360" w:right="360"/>
      </w:pPr>
      <w:r>
        <w:rPr>
          <w:rFonts w:ascii="Consolas" w:hAnsi="Consolas"/>
          <w:color w:val="1A252F"/>
          <w:sz w:val="18"/>
        </w:rPr>
        <w:t xml:space="preserve"># 1. Mount Google Drive
from google.colab import drive
drive.mount('/content/drive')
# 2. Load and preprocess data
# 3. Train XGBoost with early stopping
# 4. Save model + preprocessing pipeline
import joblib
job.dump(model, '/content/drive/MyDrive/car_price_model/xgb_model.pkl')
job.dump(preprocessor, '/content/drive/MyDrive/car_price_model/preprocessor.pkl')</w:t>
      </w:r>
    </w:p>
    <w:p>
      <w:pPr>
        <w:pStyle w:val="Heading1"/>
      </w:pPr>
      <w:r>
        <w:t>Web UI Architecture</w:t>
      </w:r>
      <w:bookmarkStart w:name="_Toc007" w:id="8"/>
      <w:bookmarkEnd w:id="8"/>
    </w:p>
    <w:p>
      <w:pPr>
        <w:pStyle w:val="Heading2"/>
      </w:pPr>
      <w:r>
        <w:t>Frontend: React + TypeScript</w:t>
      </w:r>
    </w:p>
    <w:p>
      <w:r>
        <w:t>Build a modern, responsive web interface with these components:</w:t>
      </w:r>
    </w:p>
    <w:p>
      <w:pPr>
        <w:numPr>
          <w:ilvl w:val="0"/>
          <w:numId w:val="1"/>
        </w:numPr>
      </w:pPr>
      <w:r>
        <w:t>Market Selector: Toggle between India, Europe, Asia with region-specific defaults</w:t>
      </w:r>
    </w:p>
    <w:p>
      <w:pPr>
        <w:numPr>
          <w:ilvl w:val="0"/>
          <w:numId w:val="1"/>
        </w:numPr>
      </w:pPr>
      <w:r>
        <w:t>Car Specification Form: Dynamic form with brand/model cascading dropdowns</w:t>
      </w:r>
    </w:p>
    <w:p>
      <w:pPr>
        <w:numPr>
          <w:ilvl w:val="0"/>
          <w:numId w:val="1"/>
        </w:numPr>
      </w:pPr>
      <w:r>
        <w:t>Price Prediction Display: Animated counter showing predicted price with confidence interval</w:t>
      </w:r>
    </w:p>
    <w:p>
      <w:pPr>
        <w:numPr>
          <w:ilvl w:val="0"/>
          <w:numId w:val="1"/>
        </w:numPr>
      </w:pPr>
      <w:r>
        <w:t>Feature Importance Chart: D3.js horizontal bar chart showing which factors most influence the price</w:t>
      </w:r>
    </w:p>
    <w:p>
      <w:pPr>
        <w:numPr>
          <w:ilvl w:val="0"/>
          <w:numId w:val="1"/>
        </w:numPr>
      </w:pPr>
      <w:r>
        <w:t>Market Comparison: Side-by-side view showing how the same car specs price differently across markets</w:t>
      </w:r>
    </w:p>
    <w:p>
      <w:pPr>
        <w:numPr>
          <w:ilvl w:val="0"/>
          <w:numId w:val="1"/>
        </w:numPr>
      </w:pPr>
      <w:r>
        <w:t>Depreciation Curve: Interactive chart showing predicted value over next 5 years</w:t>
      </w:r>
    </w:p>
    <w:p>
      <w:pPr>
        <w:pStyle w:val="Heading2"/>
      </w:pPr>
      <w:r>
        <w:t>Backend: FastAPI + Model Serving</w:t>
      </w:r>
    </w:p>
    <w:p>
      <w:r>
        <w:t>The FastAPI backend handles prediction requests with sub-100ms latency:</w:t>
      </w:r>
    </w:p>
    <w:p>
      <w:pPr>
        <w:shd w:val="clear" w:fill="F8F9FA"/>
        <w:spacing w:before="120" w:after="120"/>
        <w:ind w:left="360" w:right="360"/>
      </w:pPr>
      <w:r>
        <w:rPr>
          <w:rFonts w:ascii="Consolas" w:hAnsi="Consolas"/>
          <w:color w:val="1A252F"/>
          <w:sz w:val="18"/>
        </w:rPr>
        <w:t xml:space="preserve">from fastapi import FastAPI
from pydantic import BaseModel
import joblib
import numpy as np
app = FastAPI()
model = joblib.load('xgb_model.pkl')
preprocessor = joblib.load('preprocessor.pkl')
class CarFeatures(BaseModel):
    market_region: str
    brand: str
    year: int
    mileage: int
    fuel_type: str
    transmission: str
    # ... other features
@app.post('/predict')
async def predict(features: CarFeatures):
    df = pd.DataFrame([features.dict()])
    X = preprocessor.transform(df)
    pred = model.predict(X)[0]
    return {'predicted_price': round(pred, 2), 'currency': 'USD'}</w:t>
      </w:r>
    </w:p>
    <w:p>
      <w:pPr>
        <w:pStyle w:val="Heading1"/>
      </w:pPr>
      <w:r>
        <w:t>Zero-Cost Deployment</w:t>
      </w:r>
      <w:bookmarkStart w:name="_Toc008" w:id="9"/>
      <w:bookmarkEnd w:id="9"/>
    </w:p>
    <w:p>
      <w:r>
        <w:t>Deploy the complete stack without any infrastructure costs:</w:t>
      </w:r>
    </w:p>
    <w:tbl>
      <w:tblPr>
        <w:tblW w:w="5000" w:type="pct"/>
        <w:tblBorders>
          <w:top w:val="single" w:color="1ABC9C" w:sz="12"/>
          <w:left w:val="nil"/>
          <w:bottom w:val="single" w:color="1ABC9C" w:sz="12"/>
          <w:right w:val="nil"/>
          <w:insideH w:val="single" w:color="BDC3C7" w:sz="4"/>
        </w:tblBorders>
      </w:tblPr>
      <w:tblGrid>
        <w:gridCol w:w="2500"/>
        <w:gridCol w:w="2500"/>
        <w:gridCol w:w="2500"/>
        <w:gridCol w:w="2500"/>
      </w:tblGrid>
      <w:tr>
        <w:trPr>
          <w:tblHeader/>
        </w:trPr>
        <w:tc>
          <w:tcPr>
            <w:tcW w:w="2500" w:type="dxa"/>
            <w:shd w:val="clear" w:fill="EBF5FB"/>
          </w:tcPr>
          <w:p>
            <w:pPr>
              <w:spacing w:before="40" w:after="40"/>
              <w:jc w:val="left"/>
            </w:pPr>
            <w:r>
              <w:rPr>
                <w:b/>
                <w:color w:val="1A252F"/>
                <w:sz w:val="20"/>
              </w:rPr>
              <w:t>Component</w:t>
            </w:r>
          </w:p>
        </w:tc>
        <w:tc>
          <w:tcPr>
            <w:tcW w:w="2500" w:type="dxa"/>
            <w:shd w:val="clear" w:fill="EBF5FB"/>
          </w:tcPr>
          <w:p>
            <w:pPr>
              <w:spacing w:before="40" w:after="40"/>
              <w:jc w:val="left"/>
            </w:pPr>
            <w:r>
              <w:rPr>
                <w:b/>
                <w:color w:val="1A252F"/>
                <w:sz w:val="20"/>
              </w:rPr>
              <w:t>Platform</w:t>
            </w:r>
          </w:p>
        </w:tc>
        <w:tc>
          <w:tcPr>
            <w:tcW w:w="2500" w:type="dxa"/>
            <w:shd w:val="clear" w:fill="EBF5FB"/>
          </w:tcPr>
          <w:p>
            <w:pPr>
              <w:spacing w:before="40" w:after="40"/>
              <w:jc w:val="left"/>
            </w:pPr>
            <w:r>
              <w:rPr>
                <w:b/>
                <w:color w:val="1A252F"/>
                <w:sz w:val="20"/>
              </w:rPr>
              <w:t>Cost</w:t>
            </w:r>
          </w:p>
        </w:tc>
        <w:tc>
          <w:tcPr>
            <w:tcW w:w="2500" w:type="dxa"/>
            <w:shd w:val="clear" w:fill="EBF5FB"/>
          </w:tcPr>
          <w:p>
            <w:pPr>
              <w:spacing w:before="40" w:after="40"/>
              <w:jc w:val="left"/>
            </w:pPr>
            <w:r>
              <w:rPr>
                <w:b/>
                <w:color w:val="1A252F"/>
                <w:sz w:val="20"/>
              </w:rPr>
              <w:t>Limitations</w:t>
            </w:r>
          </w:p>
        </w:tc>
      </w:tr>
      <w:tr>
        <w:tc>
          <w:tcPr>
            <w:tcW w:w="2500" w:type="dxa"/>
          </w:tcPr>
          <w:p>
            <w:pPr>
              <w:spacing w:before="40" w:after="40"/>
              <w:jc w:val="left"/>
            </w:pPr>
            <w:r>
              <w:rPr>
                <w:color w:val="34495E"/>
                <w:sz w:val="20"/>
              </w:rPr>
              <w:t>Frontend</w:t>
            </w:r>
          </w:p>
        </w:tc>
        <w:tc>
          <w:tcPr>
            <w:tcW w:w="2500" w:type="dxa"/>
          </w:tcPr>
          <w:p>
            <w:pPr>
              <w:spacing w:before="40" w:after="40"/>
              <w:jc w:val="left"/>
            </w:pPr>
            <w:r>
              <w:rPr>
                <w:color w:val="34495E"/>
                <w:sz w:val="20"/>
              </w:rPr>
              <w:t>GitHub Pages</w:t>
            </w:r>
          </w:p>
        </w:tc>
        <w:tc>
          <w:tcPr>
            <w:tcW w:w="2500" w:type="dxa"/>
          </w:tcPr>
          <w:p>
            <w:pPr>
              <w:spacing w:before="40" w:after="40"/>
              <w:jc w:val="left"/>
            </w:pPr>
            <w:r>
              <w:rPr>
                <w:color w:val="34495E"/>
                <w:sz w:val="20"/>
              </w:rPr>
              <w:t>Free</w:t>
            </w:r>
          </w:p>
        </w:tc>
        <w:tc>
          <w:tcPr>
            <w:tcW w:w="2500" w:type="dxa"/>
          </w:tcPr>
          <w:p>
            <w:pPr>
              <w:spacing w:before="40" w:after="40"/>
              <w:jc w:val="left"/>
            </w:pPr>
            <w:r>
              <w:rPr>
                <w:color w:val="34495E"/>
                <w:sz w:val="20"/>
              </w:rPr>
              <w:t>Static site only</w:t>
            </w:r>
          </w:p>
        </w:tc>
      </w:tr>
      <w:tr>
        <w:tc>
          <w:tcPr>
            <w:tcW w:w="2500" w:type="dxa"/>
          </w:tcPr>
          <w:p>
            <w:pPr>
              <w:spacing w:before="40" w:after="40"/>
              <w:jc w:val="left"/>
            </w:pPr>
            <w:r>
              <w:rPr>
                <w:color w:val="34495E"/>
                <w:sz w:val="20"/>
              </w:rPr>
              <w:t>Backend API</w:t>
            </w:r>
          </w:p>
        </w:tc>
        <w:tc>
          <w:tcPr>
            <w:tcW w:w="2500" w:type="dxa"/>
          </w:tcPr>
          <w:p>
            <w:pPr>
              <w:spacing w:before="40" w:after="40"/>
              <w:jc w:val="left"/>
            </w:pPr>
            <w:r>
              <w:rPr>
                <w:color w:val="34495E"/>
                <w:sz w:val="20"/>
              </w:rPr>
              <w:t>Render Free Tier</w:t>
            </w:r>
          </w:p>
        </w:tc>
        <w:tc>
          <w:tcPr>
            <w:tcW w:w="2500" w:type="dxa"/>
          </w:tcPr>
          <w:p>
            <w:pPr>
              <w:spacing w:before="40" w:after="40"/>
              <w:jc w:val="left"/>
            </w:pPr>
            <w:r>
              <w:rPr>
                <w:color w:val="34495E"/>
                <w:sz w:val="20"/>
              </w:rPr>
              <w:t>Free</w:t>
            </w:r>
          </w:p>
        </w:tc>
        <w:tc>
          <w:tcPr>
            <w:tcW w:w="2500" w:type="dxa"/>
          </w:tcPr>
          <w:p>
            <w:pPr>
              <w:spacing w:before="40" w:after="40"/>
              <w:jc w:val="left"/>
            </w:pPr>
            <w:r>
              <w:rPr>
                <w:color w:val="34495E"/>
                <w:sz w:val="20"/>
              </w:rPr>
              <w:t>Spin down after 15min</w:t>
            </w:r>
          </w:p>
        </w:tc>
      </w:tr>
      <w:tr>
        <w:tc>
          <w:tcPr>
            <w:tcW w:w="2500" w:type="dxa"/>
          </w:tcPr>
          <w:p>
            <w:pPr>
              <w:spacing w:before="40" w:after="40"/>
              <w:jc w:val="left"/>
            </w:pPr>
            <w:r>
              <w:rPr>
                <w:color w:val="34495E"/>
                <w:sz w:val="20"/>
              </w:rPr>
              <w:t>Model Storage</w:t>
            </w:r>
          </w:p>
        </w:tc>
        <w:tc>
          <w:tcPr>
            <w:tcW w:w="2500" w:type="dxa"/>
          </w:tcPr>
          <w:p>
            <w:pPr>
              <w:spacing w:before="40" w:after="40"/>
              <w:jc w:val="left"/>
            </w:pPr>
            <w:r>
              <w:rPr>
                <w:color w:val="34495E"/>
                <w:sz w:val="20"/>
              </w:rPr>
              <w:t>Google Drive</w:t>
            </w:r>
          </w:p>
        </w:tc>
        <w:tc>
          <w:tcPr>
            <w:tcW w:w="2500" w:type="dxa"/>
          </w:tcPr>
          <w:p>
            <w:pPr>
              <w:spacing w:before="40" w:after="40"/>
              <w:jc w:val="left"/>
            </w:pPr>
            <w:r>
              <w:rPr>
                <w:color w:val="34495E"/>
                <w:sz w:val="20"/>
              </w:rPr>
              <w:t>Free (15GB)</w:t>
            </w:r>
          </w:p>
        </w:tc>
        <w:tc>
          <w:tcPr>
            <w:tcW w:w="2500" w:type="dxa"/>
          </w:tcPr>
          <w:p>
            <w:pPr>
              <w:spacing w:before="40" w:after="40"/>
              <w:jc w:val="left"/>
            </w:pPr>
            <w:r>
              <w:rPr>
                <w:color w:val="34495E"/>
                <w:sz w:val="20"/>
              </w:rPr>
              <w:t>Shared with Gmail</w:t>
            </w:r>
          </w:p>
        </w:tc>
      </w:tr>
      <w:tr>
        <w:tc>
          <w:tcPr>
            <w:tcW w:w="2500" w:type="dxa"/>
          </w:tcPr>
          <w:p>
            <w:pPr>
              <w:spacing w:before="40" w:after="40"/>
              <w:jc w:val="left"/>
            </w:pPr>
            <w:r>
              <w:rPr>
                <w:color w:val="34495E"/>
                <w:sz w:val="20"/>
              </w:rPr>
              <w:t>Database</w:t>
            </w:r>
          </w:p>
        </w:tc>
        <w:tc>
          <w:tcPr>
            <w:tcW w:w="2500" w:type="dxa"/>
          </w:tcPr>
          <w:p>
            <w:pPr>
              <w:spacing w:before="40" w:after="40"/>
              <w:jc w:val="left"/>
            </w:pPr>
            <w:r>
              <w:rPr>
                <w:color w:val="34495E"/>
                <w:sz w:val="20"/>
              </w:rPr>
              <w:t>SQLite / JSON</w:t>
            </w:r>
          </w:p>
        </w:tc>
        <w:tc>
          <w:tcPr>
            <w:tcW w:w="2500" w:type="dxa"/>
          </w:tcPr>
          <w:p>
            <w:pPr>
              <w:spacing w:before="40" w:after="40"/>
              <w:jc w:val="left"/>
            </w:pPr>
            <w:r>
              <w:rPr>
                <w:color w:val="34495E"/>
                <w:sz w:val="20"/>
              </w:rPr>
              <w:t>Free</w:t>
            </w:r>
          </w:p>
        </w:tc>
        <w:tc>
          <w:tcPr>
            <w:tcW w:w="2500" w:type="dxa"/>
          </w:tcPr>
          <w:p>
            <w:pPr>
              <w:spacing w:before="40" w:after="40"/>
              <w:jc w:val="left"/>
            </w:pPr>
            <w:r>
              <w:rPr>
                <w:color w:val="34495E"/>
                <w:sz w:val="20"/>
              </w:rPr>
              <w:t>File-based, no scale</w:t>
            </w:r>
          </w:p>
        </w:tc>
      </w:tr>
      <w:tr>
        <w:tc>
          <w:tcPr>
            <w:tcW w:w="2500" w:type="dxa"/>
          </w:tcPr>
          <w:p>
            <w:pPr>
              <w:spacing w:before="40" w:after="40"/>
              <w:jc w:val="left"/>
            </w:pPr>
            <w:r>
              <w:rPr>
                <w:color w:val="34495E"/>
                <w:sz w:val="20"/>
              </w:rPr>
              <w:t>Monitoring</w:t>
            </w:r>
          </w:p>
        </w:tc>
        <w:tc>
          <w:tcPr>
            <w:tcW w:w="2500" w:type="dxa"/>
          </w:tcPr>
          <w:p>
            <w:pPr>
              <w:spacing w:before="40" w:after="40"/>
              <w:jc w:val="left"/>
            </w:pPr>
            <w:r>
              <w:rPr>
                <w:color w:val="34495E"/>
                <w:sz w:val="20"/>
              </w:rPr>
              <w:t>Render Dashboard</w:t>
            </w:r>
          </w:p>
        </w:tc>
        <w:tc>
          <w:tcPr>
            <w:tcW w:w="2500" w:type="dxa"/>
          </w:tcPr>
          <w:p>
            <w:pPr>
              <w:spacing w:before="40" w:after="40"/>
              <w:jc w:val="left"/>
            </w:pPr>
            <w:r>
              <w:rPr>
                <w:color w:val="34495E"/>
                <w:sz w:val="20"/>
              </w:rPr>
              <w:t>Free</w:t>
            </w:r>
          </w:p>
        </w:tc>
        <w:tc>
          <w:tcPr>
            <w:tcW w:w="2500" w:type="dxa"/>
          </w:tcPr>
          <w:p>
            <w:pPr>
              <w:spacing w:before="40" w:after="40"/>
              <w:jc w:val="left"/>
            </w:pPr>
            <w:r>
              <w:rPr>
                <w:color w:val="34495E"/>
                <w:sz w:val="20"/>
              </w:rPr>
              <w:t>Basic metrics only</w:t>
            </w:r>
          </w:p>
        </w:tc>
      </w:tr>
    </w:tbl>
    <w:p>
      <w:r>
        <w:t>Architecture: React frontend (GitHub Pages) → FastAPI backend (Render free tier) → Model files (Google Drive sync on Render instance). The frontend makes API calls to your Render backend, which loads the model from its synced Drive folder.</w:t>
      </w:r>
    </w:p>
    <w:p>
      <w:r>
        <w:t>Important: Render free tier spins down after 15 minutes of inactivity. First request after spin-down takes ~30 seconds to warm up. For demo purposes this is acceptable; for production consider Render's $7/month starter plan.</w:t>
      </w:r>
    </w:p>
    <w:p>
      <w:pPr>
        <w:pStyle w:val="Heading1"/>
      </w:pPr>
      <w:r>
        <w:t>Implementation Roadmap</w:t>
      </w:r>
      <w:bookmarkStart w:name="_Toc009" w:id="10"/>
      <w:bookmarkEnd w:id="10"/>
    </w:p>
    <w:tbl>
      <w:tblPr>
        <w:tblW w:w="5000" w:type="pct"/>
        <w:tblBorders>
          <w:top w:val="single" w:color="3498DB" w:sz="12"/>
          <w:left w:val="nil"/>
          <w:bottom w:val="single" w:color="3498DB" w:sz="12"/>
          <w:right w:val="nil"/>
          <w:insideH w:val="single" w:color="BDC3C7" w:sz="4"/>
        </w:tblBorders>
      </w:tblPr>
      <w:tblGrid>
        <w:gridCol w:w="1500"/>
        <w:gridCol w:w="3500"/>
        <w:gridCol w:w="2500"/>
        <w:gridCol w:w="2500"/>
      </w:tblGrid>
      <w:tr>
        <w:trPr>
          <w:tblHeader/>
        </w:trPr>
        <w:tc>
          <w:tcPr>
            <w:tcW w:w="1500" w:type="dxa"/>
            <w:shd w:val="clear" w:fill="EBF5FB"/>
          </w:tcPr>
          <w:p>
            <w:pPr>
              <w:spacing w:before="40" w:after="40"/>
              <w:jc w:val="left"/>
            </w:pPr>
            <w:r>
              <w:rPr>
                <w:b/>
                <w:color w:val="1A252F"/>
                <w:sz w:val="20"/>
              </w:rPr>
              <w:t>Week</w:t>
            </w:r>
          </w:p>
        </w:tc>
        <w:tc>
          <w:tcPr>
            <w:tcW w:w="3500" w:type="dxa"/>
            <w:shd w:val="clear" w:fill="EBF5FB"/>
          </w:tcPr>
          <w:p>
            <w:pPr>
              <w:spacing w:before="40" w:after="40"/>
              <w:jc w:val="left"/>
            </w:pPr>
            <w:r>
              <w:rPr>
                <w:b/>
                <w:color w:val="1A252F"/>
                <w:sz w:val="20"/>
              </w:rPr>
              <w:t>Tasks</w:t>
            </w:r>
          </w:p>
        </w:tc>
        <w:tc>
          <w:tcPr>
            <w:tcW w:w="2500" w:type="dxa"/>
            <w:shd w:val="clear" w:fill="EBF5FB"/>
          </w:tcPr>
          <w:p>
            <w:pPr>
              <w:spacing w:before="40" w:after="40"/>
              <w:jc w:val="left"/>
            </w:pPr>
            <w:r>
              <w:rPr>
                <w:b/>
                <w:color w:val="1A252F"/>
                <w:sz w:val="20"/>
              </w:rPr>
              <w:t>Platform</w:t>
            </w:r>
          </w:p>
        </w:tc>
        <w:tc>
          <w:tcPr>
            <w:tcW w:w="2500" w:type="dxa"/>
            <w:shd w:val="clear" w:fill="EBF5FB"/>
          </w:tcPr>
          <w:p>
            <w:pPr>
              <w:spacing w:before="40" w:after="40"/>
              <w:jc w:val="left"/>
            </w:pPr>
            <w:r>
              <w:rPr>
                <w:b/>
                <w:color w:val="1A252F"/>
                <w:sz w:val="20"/>
              </w:rPr>
              <w:t>Deliverable</w:t>
            </w:r>
          </w:p>
        </w:tc>
      </w:tr>
      <w:tr>
        <w:tc>
          <w:tcPr>
            <w:tcW w:w="1500" w:type="dxa"/>
          </w:tcPr>
          <w:p>
            <w:pPr>
              <w:spacing w:before="40" w:after="40"/>
              <w:jc w:val="left"/>
            </w:pPr>
            <w:r>
              <w:rPr>
                <w:color w:val="34495E"/>
                <w:sz w:val="20"/>
              </w:rPr>
              <w:t>Week 1</w:t>
            </w:r>
          </w:p>
        </w:tc>
        <w:tc>
          <w:tcPr>
            <w:tcW w:w="3500" w:type="dxa"/>
          </w:tcPr>
          <w:p>
            <w:pPr>
              <w:spacing w:before="40" w:after="40"/>
              <w:jc w:val="left"/>
            </w:pPr>
            <w:r>
              <w:rPr>
                <w:color w:val="34495E"/>
                <w:sz w:val="20"/>
              </w:rPr>
              <w:t>Data collection, EDA, preprocessing</w:t>
            </w:r>
          </w:p>
        </w:tc>
        <w:tc>
          <w:tcPr>
            <w:tcW w:w="2500" w:type="dxa"/>
          </w:tcPr>
          <w:p>
            <w:pPr>
              <w:spacing w:before="40" w:after="40"/>
              <w:jc w:val="left"/>
            </w:pPr>
            <w:r>
              <w:rPr>
                <w:color w:val="34495E"/>
                <w:sz w:val="20"/>
              </w:rPr>
              <w:t>MacBook + Colab</w:t>
            </w:r>
          </w:p>
        </w:tc>
        <w:tc>
          <w:tcPr>
            <w:tcW w:w="2500" w:type="dxa"/>
          </w:tcPr>
          <w:p>
            <w:pPr>
              <w:spacing w:before="40" w:after="40"/>
              <w:jc w:val="left"/>
            </w:pPr>
            <w:r>
              <w:rPr>
                <w:color w:val="34495E"/>
                <w:sz w:val="20"/>
              </w:rPr>
              <w:t>Cleaned unified dataset</w:t>
            </w:r>
          </w:p>
        </w:tc>
      </w:tr>
      <w:tr>
        <w:tc>
          <w:tcPr>
            <w:tcW w:w="1500" w:type="dxa"/>
          </w:tcPr>
          <w:p>
            <w:pPr>
              <w:spacing w:before="40" w:after="40"/>
              <w:jc w:val="left"/>
            </w:pPr>
            <w:r>
              <w:rPr>
                <w:color w:val="34495E"/>
                <w:sz w:val="20"/>
              </w:rPr>
              <w:t>Week 2</w:t>
            </w:r>
          </w:p>
        </w:tc>
        <w:tc>
          <w:tcPr>
            <w:tcW w:w="3500" w:type="dxa"/>
          </w:tcPr>
          <w:p>
            <w:pPr>
              <w:spacing w:before="40" w:after="40"/>
              <w:jc w:val="left"/>
            </w:pPr>
            <w:r>
              <w:rPr>
                <w:color w:val="34495E"/>
                <w:sz w:val="20"/>
              </w:rPr>
              <w:t>Feature engineering, model training, tuning</w:t>
            </w:r>
          </w:p>
        </w:tc>
        <w:tc>
          <w:tcPr>
            <w:tcW w:w="2500" w:type="dxa"/>
          </w:tcPr>
          <w:p>
            <w:pPr>
              <w:spacing w:before="40" w:after="40"/>
              <w:jc w:val="left"/>
            </w:pPr>
            <w:r>
              <w:rPr>
                <w:color w:val="34495E"/>
                <w:sz w:val="20"/>
              </w:rPr>
              <w:t>Colab (GPU)</w:t>
            </w:r>
          </w:p>
        </w:tc>
        <w:tc>
          <w:tcPr>
            <w:tcW w:w="2500" w:type="dxa"/>
          </w:tcPr>
          <w:p>
            <w:pPr>
              <w:spacing w:before="40" w:after="40"/>
              <w:jc w:val="left"/>
            </w:pPr>
            <w:r>
              <w:rPr>
                <w:color w:val="34495E"/>
                <w:sz w:val="20"/>
              </w:rPr>
              <w:t>Trained XGBoost model (.pkl)</w:t>
            </w:r>
          </w:p>
        </w:tc>
      </w:tr>
      <w:tr>
        <w:tc>
          <w:tcPr>
            <w:tcW w:w="1500" w:type="dxa"/>
          </w:tcPr>
          <w:p>
            <w:pPr>
              <w:spacing w:before="40" w:after="40"/>
              <w:jc w:val="left"/>
            </w:pPr>
            <w:r>
              <w:rPr>
                <w:color w:val="34495E"/>
                <w:sz w:val="20"/>
              </w:rPr>
              <w:t>Week 3</w:t>
            </w:r>
          </w:p>
        </w:tc>
        <w:tc>
          <w:tcPr>
            <w:tcW w:w="3500" w:type="dxa"/>
          </w:tcPr>
          <w:p>
            <w:pPr>
              <w:spacing w:before="40" w:after="40"/>
              <w:jc w:val="left"/>
            </w:pPr>
            <w:r>
              <w:rPr>
                <w:color w:val="34495E"/>
                <w:sz w:val="20"/>
              </w:rPr>
              <w:t>FastAPI backend, model serving, API testing</w:t>
            </w:r>
          </w:p>
        </w:tc>
        <w:tc>
          <w:tcPr>
            <w:tcW w:w="2500" w:type="dxa"/>
          </w:tcPr>
          <w:p>
            <w:pPr>
              <w:spacing w:before="40" w:after="40"/>
              <w:jc w:val="left"/>
            </w:pPr>
            <w:r>
              <w:rPr>
                <w:color w:val="34495E"/>
                <w:sz w:val="20"/>
              </w:rPr>
              <w:t>MacBook M5</w:t>
            </w:r>
          </w:p>
        </w:tc>
        <w:tc>
          <w:tcPr>
            <w:tcW w:w="2500" w:type="dxa"/>
          </w:tcPr>
          <w:p>
            <w:pPr>
              <w:spacing w:before="40" w:after="40"/>
              <w:jc w:val="left"/>
            </w:pPr>
            <w:r>
              <w:rPr>
                <w:color w:val="34495E"/>
                <w:sz w:val="20"/>
              </w:rPr>
              <w:t>Working prediction API</w:t>
            </w:r>
          </w:p>
        </w:tc>
      </w:tr>
      <w:tr>
        <w:tc>
          <w:tcPr>
            <w:tcW w:w="1500" w:type="dxa"/>
          </w:tcPr>
          <w:p>
            <w:pPr>
              <w:spacing w:before="40" w:after="40"/>
              <w:jc w:val="left"/>
            </w:pPr>
            <w:r>
              <w:rPr>
                <w:color w:val="34495E"/>
                <w:sz w:val="20"/>
              </w:rPr>
              <w:t>Week 4</w:t>
            </w:r>
          </w:p>
        </w:tc>
        <w:tc>
          <w:tcPr>
            <w:tcW w:w="3500" w:type="dxa"/>
          </w:tcPr>
          <w:p>
            <w:pPr>
              <w:spacing w:before="40" w:after="40"/>
              <w:jc w:val="left"/>
            </w:pPr>
            <w:r>
              <w:rPr>
                <w:color w:val="34495E"/>
                <w:sz w:val="20"/>
              </w:rPr>
              <w:t>React frontend, integration, deployment</w:t>
            </w:r>
          </w:p>
        </w:tc>
        <w:tc>
          <w:tcPr>
            <w:tcW w:w="2500" w:type="dxa"/>
          </w:tcPr>
          <w:p>
            <w:pPr>
              <w:spacing w:before="40" w:after="40"/>
              <w:jc w:val="left"/>
            </w:pPr>
            <w:r>
              <w:rPr>
                <w:color w:val="34495E"/>
                <w:sz w:val="20"/>
              </w:rPr>
              <w:t>MacBook + Render</w:t>
            </w:r>
          </w:p>
        </w:tc>
        <w:tc>
          <w:tcPr>
            <w:tcW w:w="2500" w:type="dxa"/>
          </w:tcPr>
          <w:p>
            <w:pPr>
              <w:spacing w:before="40" w:after="40"/>
              <w:jc w:val="left"/>
            </w:pPr>
            <w:r>
              <w:rPr>
                <w:color w:val="34495E"/>
                <w:sz w:val="20"/>
              </w:rPr>
              <w:t>Live web application</w:t>
            </w:r>
          </w:p>
        </w:tc>
      </w:tr>
    </w:tbl>
    <w:p>
      <w:r>
        <w:t>Total estimated effort: 80-100 hours spread over 4 weeks. Start with Week 1 tasks on your MacBook, integrate Colab in Week 2 for large-scale training, and complete the full-stack UI in Weeks 3-4.</w:t>
      </w:r>
    </w:p>
    <w:p>
      <w:pPr>
        <w:sectPr>
          <w:headerReference w:type="default" r:id="R3a791a8fcefd4bba"/>
          <w:footerReference w:type="default" r:id="Rc5fe7b44c0d94d6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3e530dacaf5450c"/>
                    <a:stretch>
                      <a:fillRect/>
                    </a:stretch>
                  </pic:blipFill>
                  <pic:spPr>
                    <a:xfrm>
                      <a:off x="0" y="0"/>
                      <a:ext cx="7560000" cy="10692000"/>
                    </a:xfrm>
                    <a:prstGeom prst="rect"/>
                  </pic:spPr>
                </pic:pic>
              </a:graphicData>
            </a:graphic>
          </wp:anchor>
        </w:drawing>
      </w:r>
    </w:p>
    <w:p>
      <w:pPr>
        <w:spacing w:before="6000"/>
        <w:jc w:val="center"/>
      </w:pPr>
      <w:r>
        <w:rPr>
          <w:b/>
          <w:color w:val="1ABC9C"/>
          <w:sz w:val="56"/>
        </w:rPr>
        <w:t>Start Building</w:t>
      </w:r>
    </w:p>
    <w:p>
      <w:pPr>
        <w:spacing w:before="400"/>
        <w:jc w:val="center"/>
      </w:pPr>
      <w:r>
        <w:rPr>
          <w:b/>
          <w:color w:val="FFFFFF"/>
          <w:sz w:val="56"/>
        </w:rPr>
        <w:t>Your ML Pipeline Today</w:t>
      </w:r>
    </w:p>
    <w:p>
      <w:pPr>
        <w:spacing w:before="2000"/>
        <w:jc w:val="center"/>
      </w:pPr>
      <w:r>
        <w:rPr>
          <w:color w:val="BDC3C7"/>
          <w:sz w:val="20"/>
        </w:rPr>
        <w:t>Zero Cost  |  Production Ready  |  Multi-Market</w:t>
      </w:r>
    </w:p>
    <w:p>
      <w:pPr>
        <w:spacing w:before="400"/>
        <w:jc w:val="center"/>
      </w:pPr>
      <w:r>
        <w:rPr>
          <w:color w:val="7F8C8D"/>
          <w:sz w:val="16"/>
        </w:rPr>
        <w:t>Guide Version 1.0  |  April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p>
</w:ftr>
</file>

<file path=word/header1.xml><?xml version="1.0" encoding="utf-8"?>
<w:hdr xmlns:w="http://schemas.openxmlformats.org/wordprocessingml/2006/main">
  <w:p>
    <w:pPr>
      <w:jc w:val="right"/>
    </w:pPr>
    <w:r>
      <w:rPr>
        <w:color w:val="7F8C8D"/>
        <w:sz w:val="18"/>
      </w:rPr>
      <w:t>Car Resale Value Prediction - Project Guide</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52F"/>
      <w:sz w:val="22"/>
    </w:rPr>
  </w:style>
  <w:style w:type="paragraph" w:styleId="Heading1">
    <w:name w:val="heading 1"/>
    <w:basedOn w:val="Normal"/>
    <w:pPr>
      <w:keepNext/>
      <w:keepLines/>
      <w:spacing w:before="500" w:after="200"/>
      <w:outlineLvl w:val="0"/>
    </w:pPr>
    <w:rPr>
      <w:rFonts w:ascii="Calibri" w:hAnsi="Calibri" w:eastAsia="Microsoft YaHei"/>
      <w:b/>
      <w:color w:val="2C3E50"/>
      <w:sz w:val="40"/>
    </w:rPr>
  </w:style>
  <w:style w:type="paragraph" w:styleId="Heading2">
    <w:name w:val="heading 2"/>
    <w:basedOn w:val="Normal"/>
    <w:pPr>
      <w:keepNext/>
      <w:keepLines/>
      <w:spacing w:before="360" w:after="140"/>
      <w:outlineLvl w:val="1"/>
    </w:pPr>
    <w:rPr>
      <w:rFonts w:ascii="Calibri" w:hAnsi="Calibri" w:eastAsia="Microsoft YaHei"/>
      <w:b/>
      <w:color w:val="3498DB"/>
      <w:sz w:val="28"/>
    </w:rPr>
  </w:style>
  <w:style w:type="paragraph" w:styleId="Heading3">
    <w:name w:val="heading 3"/>
    <w:basedOn w:val="Normal"/>
    <w:pPr>
      <w:keepNext/>
      <w:keepLines/>
      <w:spacing w:before="280" w:after="100"/>
      <w:outlineLvl w:val="2"/>
    </w:pPr>
    <w:rPr>
      <w:rFonts w:ascii="Calibri" w:hAnsi="Calibri" w:eastAsia="Microsoft YaHei"/>
      <w:b/>
      <w:color w:val="34495E"/>
      <w:sz w:val="24"/>
    </w:rPr>
  </w:style>
  <w:style w:type="paragraph" w:styleId="Caption">
    <w:name w:val="Caption"/>
    <w:basedOn w:val="Normal"/>
    <w:pPr>
      <w:spacing w:before="60" w:after="280"/>
      <w:jc w:val="center"/>
    </w:pPr>
    <w:rPr>
      <w:color w:val="7F8C8D"/>
      <w:sz w:val="20"/>
    </w:rPr>
  </w:style>
  <w:style w:type="paragraph" w:styleId="TOC1">
    <w:name w:val="toc 1"/>
    <w:basedOn w:val="Normal"/>
    <w:pPr>
      <w:tabs>
        <w:tab w:val="right" w:leader="dot" w:pos="9350"/>
      </w:tabs>
      <w:spacing w:before="200" w:after="40"/>
      <w:ind w:left="0"/>
    </w:pPr>
    <w:rPr>
      <w:b/>
      <w:color w:val="1A252F"/>
    </w:rPr>
  </w:style>
  <w:style w:type="paragraph" w:styleId="TOC2">
    <w:name w:val="toc 2"/>
    <w:basedOn w:val="Normal"/>
    <w:pPr>
      <w:tabs>
        <w:tab w:val="right" w:leader="dot" w:pos="9350"/>
      </w:tabs>
      <w:spacing w:before="60" w:after="40"/>
      <w:ind w:left="360"/>
    </w:pPr>
    <w:rPr>
      <w:color w:val="34495E"/>
    </w:rPr>
  </w:style>
  <w:style w:type="paragraph" w:styleId="TOC3">
    <w:name w:val="toc 3"/>
    <w:basedOn w:val="Normal"/>
    <w:pPr>
      <w:tabs>
        <w:tab w:val="right" w:leader="dot" w:pos="9350"/>
      </w:tabs>
      <w:spacing w:before="40" w:after="40"/>
      <w:ind w:left="720"/>
    </w:pPr>
    <w:rPr>
      <w:color w:val="34495E"/>
    </w:rPr>
  </w:style>
</w:styles>
</file>

<file path=word/_rels/document.xml.rels><?xml version='1.0' encoding='UTF-8'?>
<Relationships xmlns="http://schemas.openxmlformats.org/package/2006/relationships"><Relationship Type="http://schemas.openxmlformats.org/officeDocument/2006/relationships/styles" Target="styles.xml" Id="Re85cde89c23247da" /><Relationship Type="http://schemas.openxmlformats.org/officeDocument/2006/relationships/numbering" Target="numbering.xml" Id="Ra06dfacbedc34292" /><Relationship Type="http://schemas.openxmlformats.org/officeDocument/2006/relationships/image" Target="media/image.png" Id="Re661a06f28b848fe" /><Relationship Type="http://schemas.openxmlformats.org/officeDocument/2006/relationships/image" Target="media/image2.png" Id="R73e530dacaf5450c" /><Relationship Type="http://schemas.openxmlformats.org/officeDocument/2006/relationships/header" Target="header1.xml" Id="R3a791a8fcefd4bba" /><Relationship Type="http://schemas.openxmlformats.org/officeDocument/2006/relationships/footer" Target="footer1.xml" Id="Rc5fe7b44c0d94d63" /><Relationship Type="http://schemas.openxmlformats.org/officeDocument/2006/relationships/settings" Target="settings.xml" Id="Rc3a438cf865b4234" /></Relationships>
</file>