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7F9F1" w14:textId="77777777" w:rsidR="000C4D68" w:rsidRDefault="00000000">
      <w:pPr>
        <w:spacing w:after="0"/>
      </w:pPr>
      <w:r>
        <w:t>TO:</w:t>
      </w:r>
      <w:r>
        <w:tab/>
        <w:t>Campaigns and Advocacy Committee</w:t>
      </w:r>
    </w:p>
    <w:p w14:paraId="2A6C638D" w14:textId="77777777" w:rsidR="000C4D68" w:rsidRDefault="00000000">
      <w:pPr>
        <w:spacing w:after="0"/>
      </w:pPr>
      <w:r>
        <w:t>CC:</w:t>
      </w:r>
      <w:r>
        <w:tab/>
        <w:t xml:space="preserve">Arpan Randhawa, Vice-President External </w:t>
      </w:r>
    </w:p>
    <w:p w14:paraId="1B33D943" w14:textId="77777777" w:rsidR="000C4D68" w:rsidRDefault="00000000">
      <w:pPr>
        <w:spacing w:after="0"/>
      </w:pPr>
      <w:r>
        <w:t>From:</w:t>
      </w:r>
      <w:r>
        <w:tab/>
        <w:t>Jaismine Kaur, Campaigns Assistant</w:t>
      </w:r>
    </w:p>
    <w:p w14:paraId="2F22AC4B" w14:textId="77777777" w:rsidR="000C4D68" w:rsidRDefault="00000000">
      <w:pPr>
        <w:spacing w:after="0"/>
      </w:pPr>
      <w:r>
        <w:t>Date:</w:t>
      </w:r>
      <w:r>
        <w:tab/>
      </w:r>
    </w:p>
    <w:p w14:paraId="603881A0" w14:textId="77777777" w:rsidR="000C4D68" w:rsidRDefault="00000000">
      <w:pPr>
        <w:rPr>
          <w:b/>
        </w:rPr>
      </w:pPr>
      <w:r>
        <w:rPr>
          <w:b/>
        </w:rPr>
        <w:t>RE:</w:t>
      </w:r>
      <w:r>
        <w:rPr>
          <w:b/>
        </w:rPr>
        <w:tab/>
        <w:t>Swearing-in of the BC Cabinet by Premier on Nov 18, 2024</w:t>
      </w:r>
    </w:p>
    <w:p w14:paraId="72D1C2CB" w14:textId="77777777" w:rsidR="000C4D68" w:rsidRDefault="000731E4">
      <w:r>
        <w:rPr>
          <w:noProof/>
        </w:rPr>
        <w:pict w14:anchorId="3741228F">
          <v:rect id="_x0000_i1029" alt="" style="width:468pt;height:.05pt;mso-width-percent:0;mso-height-percent:0;mso-width-percent:0;mso-height-percent:0" o:hralign="center" o:hrstd="t" o:hr="t" fillcolor="#a0a0a0" stroked="f"/>
        </w:pict>
      </w:r>
    </w:p>
    <w:p w14:paraId="742AE69F" w14:textId="77777777" w:rsidR="000C4D68" w:rsidRDefault="00000000" w:rsidP="00632A56">
      <w:pPr>
        <w:pStyle w:val="Heading1"/>
        <w:ind w:left="0"/>
        <w:rPr>
          <w:rFonts w:ascii="Arial" w:eastAsia="Arial" w:hAnsi="Arial" w:cs="Arial"/>
          <w:color w:val="474747"/>
          <w:sz w:val="26"/>
          <w:szCs w:val="26"/>
          <w:highlight w:val="white"/>
        </w:rPr>
      </w:pPr>
      <w:bookmarkStart w:id="0" w:name="_vlgamp1sloc6" w:colFirst="0" w:colLast="0"/>
      <w:bookmarkEnd w:id="0"/>
      <w:r>
        <w:t>Key Points</w:t>
      </w:r>
    </w:p>
    <w:p w14:paraId="2CDE4BC9" w14:textId="77777777" w:rsidR="000C4D68" w:rsidRDefault="00000000">
      <w:pPr>
        <w:spacing w:before="240" w:after="240" w:line="273" w:lineRule="auto"/>
        <w:rPr>
          <w:rFonts w:ascii="Arial" w:eastAsia="Arial" w:hAnsi="Arial" w:cs="Arial"/>
          <w:color w:val="474747"/>
          <w:highlight w:val="white"/>
        </w:rPr>
      </w:pPr>
      <w:r>
        <w:rPr>
          <w:rFonts w:ascii="Arial" w:eastAsia="Arial" w:hAnsi="Arial" w:cs="Arial"/>
          <w:color w:val="474747"/>
          <w:highlight w:val="white"/>
        </w:rPr>
        <w:t xml:space="preserve">Premier David Eby has announced a new cabinet on November 18, 2024. This cabinet comprises </w:t>
      </w:r>
      <w:r>
        <w:rPr>
          <w:rFonts w:ascii="Arial" w:eastAsia="Arial" w:hAnsi="Arial" w:cs="Arial"/>
          <w:b/>
          <w:color w:val="474747"/>
          <w:highlight w:val="white"/>
        </w:rPr>
        <w:t>27 ministries</w:t>
      </w:r>
      <w:r>
        <w:rPr>
          <w:rFonts w:ascii="Arial" w:eastAsia="Arial" w:hAnsi="Arial" w:cs="Arial"/>
          <w:color w:val="474747"/>
          <w:highlight w:val="white"/>
        </w:rPr>
        <w:t xml:space="preserve">: </w:t>
      </w:r>
      <w:r>
        <w:rPr>
          <w:rFonts w:ascii="Arial" w:eastAsia="Arial" w:hAnsi="Arial" w:cs="Arial"/>
          <w:b/>
          <w:color w:val="474747"/>
          <w:highlight w:val="white"/>
        </w:rPr>
        <w:t>23 ministers</w:t>
      </w:r>
      <w:r>
        <w:rPr>
          <w:rFonts w:ascii="Arial" w:eastAsia="Arial" w:hAnsi="Arial" w:cs="Arial"/>
          <w:color w:val="474747"/>
          <w:highlight w:val="white"/>
        </w:rPr>
        <w:t xml:space="preserve"> and </w:t>
      </w:r>
      <w:r>
        <w:rPr>
          <w:rFonts w:ascii="Arial" w:eastAsia="Arial" w:hAnsi="Arial" w:cs="Arial"/>
          <w:b/>
          <w:color w:val="474747"/>
          <w:highlight w:val="white"/>
        </w:rPr>
        <w:t>4 ministers of state</w:t>
      </w:r>
      <w:r>
        <w:rPr>
          <w:rFonts w:ascii="Arial" w:eastAsia="Arial" w:hAnsi="Arial" w:cs="Arial"/>
          <w:color w:val="474747"/>
          <w:highlight w:val="white"/>
        </w:rPr>
        <w:t xml:space="preserve">, supported by </w:t>
      </w:r>
      <w:r>
        <w:rPr>
          <w:rFonts w:ascii="Arial" w:eastAsia="Arial" w:hAnsi="Arial" w:cs="Arial"/>
          <w:b/>
          <w:color w:val="474747"/>
          <w:highlight w:val="white"/>
        </w:rPr>
        <w:t>14 parliamentary secretaries</w:t>
      </w:r>
      <w:r>
        <w:rPr>
          <w:rFonts w:ascii="Arial" w:eastAsia="Arial" w:hAnsi="Arial" w:cs="Arial"/>
          <w:color w:val="474747"/>
          <w:highlight w:val="white"/>
        </w:rPr>
        <w:t>.</w:t>
      </w:r>
    </w:p>
    <w:p w14:paraId="670E38C1"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The new cabinet’s priorities, as per Premier Eby, include:</w:t>
      </w:r>
    </w:p>
    <w:p w14:paraId="27A4430B" w14:textId="77777777" w:rsidR="000C4D68" w:rsidRDefault="00000000">
      <w:pPr>
        <w:numPr>
          <w:ilvl w:val="0"/>
          <w:numId w:val="3"/>
        </w:numPr>
        <w:spacing w:before="240" w:after="0" w:line="273" w:lineRule="auto"/>
        <w:rPr>
          <w:rFonts w:ascii="Arial" w:eastAsia="Arial" w:hAnsi="Arial" w:cs="Arial"/>
          <w:b/>
          <w:color w:val="474747"/>
          <w:highlight w:val="white"/>
        </w:rPr>
      </w:pPr>
      <w:r>
        <w:rPr>
          <w:rFonts w:ascii="Arial" w:eastAsia="Arial" w:hAnsi="Arial" w:cs="Arial"/>
          <w:b/>
          <w:color w:val="474747"/>
          <w:highlight w:val="white"/>
        </w:rPr>
        <w:t>Reducing costs for families</w:t>
      </w:r>
    </w:p>
    <w:p w14:paraId="63ACCB4B" w14:textId="77777777" w:rsidR="000C4D68" w:rsidRDefault="00000000">
      <w:pPr>
        <w:numPr>
          <w:ilvl w:val="0"/>
          <w:numId w:val="3"/>
        </w:numPr>
        <w:spacing w:after="0" w:line="273" w:lineRule="auto"/>
        <w:rPr>
          <w:rFonts w:ascii="Arial" w:eastAsia="Arial" w:hAnsi="Arial" w:cs="Arial"/>
          <w:b/>
          <w:color w:val="474747"/>
          <w:highlight w:val="white"/>
        </w:rPr>
      </w:pPr>
      <w:r>
        <w:rPr>
          <w:rFonts w:ascii="Arial" w:eastAsia="Arial" w:hAnsi="Arial" w:cs="Arial"/>
          <w:b/>
          <w:color w:val="474747"/>
          <w:highlight w:val="white"/>
        </w:rPr>
        <w:t>Strengthening health care</w:t>
      </w:r>
    </w:p>
    <w:p w14:paraId="76FFF554" w14:textId="77777777" w:rsidR="000C4D68" w:rsidRDefault="00000000">
      <w:pPr>
        <w:numPr>
          <w:ilvl w:val="0"/>
          <w:numId w:val="3"/>
        </w:numPr>
        <w:spacing w:after="0" w:line="273" w:lineRule="auto"/>
        <w:rPr>
          <w:rFonts w:ascii="Arial" w:eastAsia="Arial" w:hAnsi="Arial" w:cs="Arial"/>
          <w:b/>
          <w:color w:val="474747"/>
          <w:highlight w:val="white"/>
        </w:rPr>
      </w:pPr>
      <w:r>
        <w:rPr>
          <w:rFonts w:ascii="Arial" w:eastAsia="Arial" w:hAnsi="Arial" w:cs="Arial"/>
          <w:b/>
          <w:color w:val="474747"/>
          <w:highlight w:val="white"/>
        </w:rPr>
        <w:t>Enhancing community safety</w:t>
      </w:r>
    </w:p>
    <w:p w14:paraId="547385BC" w14:textId="77777777" w:rsidR="000C4D68" w:rsidRDefault="00000000">
      <w:pPr>
        <w:numPr>
          <w:ilvl w:val="0"/>
          <w:numId w:val="3"/>
        </w:numPr>
        <w:spacing w:after="0" w:line="273" w:lineRule="auto"/>
        <w:rPr>
          <w:rFonts w:ascii="Arial" w:eastAsia="Arial" w:hAnsi="Arial" w:cs="Arial"/>
          <w:b/>
          <w:color w:val="474747"/>
          <w:highlight w:val="white"/>
        </w:rPr>
      </w:pPr>
      <w:r>
        <w:rPr>
          <w:rFonts w:ascii="Arial" w:eastAsia="Arial" w:hAnsi="Arial" w:cs="Arial"/>
          <w:b/>
          <w:color w:val="474747"/>
          <w:highlight w:val="white"/>
        </w:rPr>
        <w:t>Growing the economy inclusively</w:t>
      </w:r>
    </w:p>
    <w:p w14:paraId="6EDE5EA0" w14:textId="77777777" w:rsidR="000C4D68" w:rsidRDefault="00000000">
      <w:pPr>
        <w:numPr>
          <w:ilvl w:val="0"/>
          <w:numId w:val="3"/>
        </w:numPr>
        <w:spacing w:after="0" w:line="273" w:lineRule="auto"/>
        <w:rPr>
          <w:rFonts w:ascii="Arial" w:eastAsia="Arial" w:hAnsi="Arial" w:cs="Arial"/>
          <w:b/>
          <w:color w:val="474747"/>
          <w:highlight w:val="white"/>
        </w:rPr>
      </w:pPr>
      <w:r>
        <w:rPr>
          <w:rFonts w:ascii="Arial" w:eastAsia="Arial" w:hAnsi="Arial" w:cs="Arial"/>
          <w:b/>
          <w:color w:val="474747"/>
          <w:highlight w:val="white"/>
        </w:rPr>
        <w:t>Building partnerships with Indigenous communities</w:t>
      </w:r>
    </w:p>
    <w:p w14:paraId="63E11E74" w14:textId="77777777" w:rsidR="000C4D68" w:rsidRDefault="00000000">
      <w:pPr>
        <w:numPr>
          <w:ilvl w:val="0"/>
          <w:numId w:val="3"/>
        </w:numPr>
        <w:spacing w:after="240" w:line="273" w:lineRule="auto"/>
        <w:rPr>
          <w:rFonts w:ascii="Arial" w:eastAsia="Arial" w:hAnsi="Arial" w:cs="Arial"/>
          <w:b/>
          <w:color w:val="474747"/>
          <w:highlight w:val="white"/>
        </w:rPr>
      </w:pPr>
      <w:proofErr w:type="gramStart"/>
      <w:r>
        <w:rPr>
          <w:rFonts w:ascii="Arial" w:eastAsia="Arial" w:hAnsi="Arial" w:cs="Arial"/>
          <w:b/>
          <w:color w:val="474747"/>
          <w:highlight w:val="white"/>
        </w:rPr>
        <w:t>Taking action</w:t>
      </w:r>
      <w:proofErr w:type="gramEnd"/>
      <w:r>
        <w:rPr>
          <w:rFonts w:ascii="Arial" w:eastAsia="Arial" w:hAnsi="Arial" w:cs="Arial"/>
          <w:b/>
          <w:color w:val="474747"/>
          <w:highlight w:val="white"/>
        </w:rPr>
        <w:t xml:space="preserve"> on climate change </w:t>
      </w:r>
    </w:p>
    <w:p w14:paraId="4E5A2B6C" w14:textId="77777777" w:rsidR="000C4D68" w:rsidRDefault="000731E4">
      <w:pPr>
        <w:spacing w:before="240" w:after="240" w:line="273" w:lineRule="auto"/>
        <w:rPr>
          <w:rFonts w:ascii="Arial" w:eastAsia="Arial" w:hAnsi="Arial" w:cs="Arial"/>
          <w:b/>
          <w:color w:val="474747"/>
          <w:highlight w:val="white"/>
        </w:rPr>
      </w:pPr>
      <w:r>
        <w:rPr>
          <w:noProof/>
        </w:rPr>
        <w:pict w14:anchorId="642CEB21">
          <v:rect id="_x0000_i1028" alt="" style="width:468pt;height:.05pt;mso-width-percent:0;mso-height-percent:0;mso-width-percent:0;mso-height-percent:0" o:hralign="center" o:hrstd="t" o:hr="t" fillcolor="#a0a0a0" stroked="f"/>
        </w:pict>
      </w:r>
    </w:p>
    <w:p w14:paraId="74409B8F" w14:textId="77777777" w:rsidR="000C4D68" w:rsidRDefault="00000000">
      <w:pPr>
        <w:pStyle w:val="Heading1"/>
        <w:pBdr>
          <w:top w:val="nil"/>
          <w:left w:val="nil"/>
          <w:bottom w:val="nil"/>
          <w:right w:val="nil"/>
          <w:between w:val="nil"/>
        </w:pBdr>
        <w:ind w:hanging="2160"/>
      </w:pPr>
      <w:bookmarkStart w:id="1" w:name="_nzun6t30556" w:colFirst="0" w:colLast="0"/>
      <w:bookmarkEnd w:id="1"/>
      <w:r>
        <w:t xml:space="preserve">Background </w:t>
      </w:r>
    </w:p>
    <w:p w14:paraId="6D9CA82B" w14:textId="77777777" w:rsidR="000C4D68" w:rsidRDefault="00000000">
      <w:r>
        <w:t xml:space="preserve">Following the </w:t>
      </w:r>
      <w:r>
        <w:rPr>
          <w:b/>
        </w:rPr>
        <w:t xml:space="preserve">October 28, </w:t>
      </w:r>
      <w:proofErr w:type="gramStart"/>
      <w:r>
        <w:rPr>
          <w:b/>
        </w:rPr>
        <w:t>2024</w:t>
      </w:r>
      <w:proofErr w:type="gramEnd"/>
      <w:r>
        <w:t xml:space="preserve"> provincial BC election, the </w:t>
      </w:r>
      <w:r>
        <w:rPr>
          <w:b/>
        </w:rPr>
        <w:t>BC NDP</w:t>
      </w:r>
      <w:r>
        <w:t xml:space="preserve"> led by Premier </w:t>
      </w:r>
      <w:r>
        <w:rPr>
          <w:b/>
        </w:rPr>
        <w:t>David Eby</w:t>
      </w:r>
      <w:r>
        <w:t xml:space="preserve"> secured a </w:t>
      </w:r>
      <w:r>
        <w:rPr>
          <w:b/>
        </w:rPr>
        <w:t>majority government</w:t>
      </w:r>
      <w:r>
        <w:t xml:space="preserve">, winning 47 seats. After this, the </w:t>
      </w:r>
      <w:r>
        <w:rPr>
          <w:b/>
        </w:rPr>
        <w:t>Lieutenant Governor</w:t>
      </w:r>
      <w:r>
        <w:t xml:space="preserve"> invited Premier Eby to form the government, which he accepted. On </w:t>
      </w:r>
      <w:r>
        <w:rPr>
          <w:b/>
        </w:rPr>
        <w:t>November 18, 2024</w:t>
      </w:r>
      <w:r>
        <w:t xml:space="preserve">, Premier Eby announced his new </w:t>
      </w:r>
      <w:r>
        <w:rPr>
          <w:b/>
        </w:rPr>
        <w:t>cabinet</w:t>
      </w:r>
      <w:r>
        <w:t xml:space="preserve">, consisting of </w:t>
      </w:r>
      <w:r>
        <w:rPr>
          <w:b/>
        </w:rPr>
        <w:t>23 ministers</w:t>
      </w:r>
      <w:r>
        <w:t xml:space="preserve"> and </w:t>
      </w:r>
      <w:r>
        <w:rPr>
          <w:b/>
        </w:rPr>
        <w:t>4 ministers of state</w:t>
      </w:r>
      <w:r>
        <w:t xml:space="preserve">, who will oversee various key portfolios such as healthcare, education, housing, and climate action. </w:t>
      </w:r>
    </w:p>
    <w:p w14:paraId="2DEC7721" w14:textId="77777777" w:rsidR="000C4D68" w:rsidRDefault="000731E4">
      <w:pPr>
        <w:spacing w:before="240" w:after="240" w:line="273" w:lineRule="auto"/>
        <w:rPr>
          <w:rFonts w:ascii="Lato" w:eastAsia="Lato" w:hAnsi="Lato" w:cs="Lato"/>
          <w:b/>
          <w:color w:val="60C100"/>
          <w:sz w:val="32"/>
          <w:szCs w:val="32"/>
        </w:rPr>
      </w:pPr>
      <w:r>
        <w:rPr>
          <w:noProof/>
        </w:rPr>
        <w:pict w14:anchorId="3DD8D289">
          <v:rect id="_x0000_i1027" alt="" style="width:468pt;height:.05pt;mso-width-percent:0;mso-height-percent:0;mso-width-percent:0;mso-height-percent:0" o:hralign="center" o:hrstd="t" o:hr="t" fillcolor="#a0a0a0" stroked="f"/>
        </w:pict>
      </w:r>
    </w:p>
    <w:p w14:paraId="63A2EA0E" w14:textId="77777777" w:rsidR="000C4D68" w:rsidRDefault="00000000">
      <w:pPr>
        <w:rPr>
          <w:rFonts w:ascii="Arial" w:eastAsia="Arial" w:hAnsi="Arial" w:cs="Arial"/>
          <w:color w:val="474747"/>
          <w:sz w:val="22"/>
          <w:szCs w:val="22"/>
          <w:highlight w:val="white"/>
        </w:rPr>
      </w:pPr>
      <w:r>
        <w:rPr>
          <w:rFonts w:ascii="Lato" w:eastAsia="Lato" w:hAnsi="Lato" w:cs="Lato"/>
          <w:b/>
          <w:color w:val="60C100"/>
          <w:sz w:val="32"/>
          <w:szCs w:val="32"/>
        </w:rPr>
        <w:t>Definitions</w:t>
      </w:r>
    </w:p>
    <w:p w14:paraId="7BF9F658" w14:textId="77777777" w:rsidR="000C4D68" w:rsidRDefault="00000000">
      <w:pPr>
        <w:numPr>
          <w:ilvl w:val="0"/>
          <w:numId w:val="2"/>
        </w:numPr>
        <w:spacing w:before="240" w:after="0" w:line="273" w:lineRule="auto"/>
        <w:rPr>
          <w:rFonts w:ascii="Arial" w:eastAsia="Arial" w:hAnsi="Arial" w:cs="Arial"/>
          <w:color w:val="474747"/>
          <w:highlight w:val="white"/>
        </w:rPr>
      </w:pPr>
      <w:r>
        <w:rPr>
          <w:rFonts w:ascii="Arial" w:eastAsia="Arial" w:hAnsi="Arial" w:cs="Arial"/>
          <w:b/>
          <w:color w:val="474747"/>
          <w:highlight w:val="white"/>
          <w:u w:val="single"/>
        </w:rPr>
        <w:t>Lieutenant Governo</w:t>
      </w:r>
      <w:r>
        <w:rPr>
          <w:rFonts w:ascii="Arial" w:eastAsia="Arial" w:hAnsi="Arial" w:cs="Arial"/>
          <w:color w:val="474747"/>
          <w:highlight w:val="white"/>
        </w:rPr>
        <w:t xml:space="preserve">r: </w:t>
      </w:r>
      <w:r>
        <w:rPr>
          <w:rFonts w:ascii="Arial" w:eastAsia="Arial" w:hAnsi="Arial" w:cs="Arial"/>
          <w:color w:val="292929"/>
          <w:highlight w:val="white"/>
        </w:rPr>
        <w:t xml:space="preserve">The Lieutenant Governor of B.C. represents the King at the provincial level in Canada and is the legal head of state in British Columbia, </w:t>
      </w:r>
      <w:r>
        <w:rPr>
          <w:rFonts w:ascii="Arial" w:eastAsia="Arial" w:hAnsi="Arial" w:cs="Arial"/>
          <w:color w:val="292929"/>
          <w:highlight w:val="white"/>
        </w:rPr>
        <w:lastRenderedPageBreak/>
        <w:t xml:space="preserve">which means he or she acts as chief public representative and has the </w:t>
      </w:r>
      <w:proofErr w:type="gramStart"/>
      <w:r>
        <w:rPr>
          <w:rFonts w:ascii="Arial" w:eastAsia="Arial" w:hAnsi="Arial" w:cs="Arial"/>
          <w:color w:val="292929"/>
          <w:highlight w:val="white"/>
        </w:rPr>
        <w:t>highest ranking</w:t>
      </w:r>
      <w:proofErr w:type="gramEnd"/>
      <w:r>
        <w:rPr>
          <w:rFonts w:ascii="Arial" w:eastAsia="Arial" w:hAnsi="Arial" w:cs="Arial"/>
          <w:color w:val="292929"/>
          <w:highlight w:val="white"/>
        </w:rPr>
        <w:t xml:space="preserve"> position in the provincial government.</w:t>
      </w:r>
    </w:p>
    <w:p w14:paraId="3F6C9750" w14:textId="77777777" w:rsidR="000C4D68" w:rsidRDefault="00000000">
      <w:pPr>
        <w:numPr>
          <w:ilvl w:val="0"/>
          <w:numId w:val="2"/>
        </w:numPr>
        <w:spacing w:after="0" w:line="273" w:lineRule="auto"/>
        <w:rPr>
          <w:rFonts w:ascii="Arial" w:eastAsia="Arial" w:hAnsi="Arial" w:cs="Arial"/>
          <w:b/>
          <w:color w:val="474747"/>
          <w:highlight w:val="white"/>
        </w:rPr>
      </w:pPr>
      <w:r>
        <w:rPr>
          <w:rFonts w:ascii="Arial" w:eastAsia="Arial" w:hAnsi="Arial" w:cs="Arial"/>
          <w:b/>
          <w:color w:val="474747"/>
          <w:highlight w:val="white"/>
          <w:u w:val="single"/>
        </w:rPr>
        <w:t>Premier:</w:t>
      </w:r>
      <w:r>
        <w:rPr>
          <w:rFonts w:ascii="Arial" w:eastAsia="Arial" w:hAnsi="Arial" w:cs="Arial"/>
          <w:color w:val="474747"/>
          <w:highlight w:val="white"/>
        </w:rPr>
        <w:t xml:space="preserve"> The Premier acts as the head of government for B.C. In other words, they are the first minister and chief officer of the executive branch. </w:t>
      </w:r>
      <w:proofErr w:type="gramStart"/>
      <w:r>
        <w:rPr>
          <w:rFonts w:ascii="Arial" w:eastAsia="Arial" w:hAnsi="Arial" w:cs="Arial"/>
          <w:color w:val="292929"/>
          <w:highlight w:val="white"/>
        </w:rPr>
        <w:t>The majority of</w:t>
      </w:r>
      <w:proofErr w:type="gramEnd"/>
      <w:r>
        <w:rPr>
          <w:rFonts w:ascii="Arial" w:eastAsia="Arial" w:hAnsi="Arial" w:cs="Arial"/>
          <w:color w:val="292929"/>
          <w:highlight w:val="white"/>
        </w:rPr>
        <w:t xml:space="preserve"> the time, the leader of the political party with the most elected Members of Legislative Assembly (MLAs) in the province becomes the Premier. The Premier recommends to the Lieutenant Governor which MLAs should be appointed as cabinet ministers.</w:t>
      </w:r>
    </w:p>
    <w:p w14:paraId="43F5AFF4" w14:textId="77777777" w:rsidR="000C4D68" w:rsidRDefault="00000000">
      <w:pPr>
        <w:numPr>
          <w:ilvl w:val="0"/>
          <w:numId w:val="2"/>
        </w:numPr>
        <w:spacing w:after="0" w:line="273" w:lineRule="auto"/>
        <w:rPr>
          <w:rFonts w:ascii="Arial" w:eastAsia="Arial" w:hAnsi="Arial" w:cs="Arial"/>
          <w:b/>
          <w:color w:val="474747"/>
          <w:highlight w:val="white"/>
        </w:rPr>
      </w:pPr>
      <w:r>
        <w:rPr>
          <w:rFonts w:ascii="Arial" w:eastAsia="Arial" w:hAnsi="Arial" w:cs="Arial"/>
          <w:b/>
          <w:color w:val="474747"/>
          <w:highlight w:val="white"/>
          <w:u w:val="single"/>
        </w:rPr>
        <w:t>Cabinet</w:t>
      </w:r>
      <w:r>
        <w:rPr>
          <w:rFonts w:ascii="Arial" w:eastAsia="Arial" w:hAnsi="Arial" w:cs="Arial"/>
          <w:b/>
          <w:color w:val="474747"/>
          <w:highlight w:val="white"/>
        </w:rPr>
        <w:t xml:space="preserve">: </w:t>
      </w:r>
      <w:r>
        <w:rPr>
          <w:rFonts w:ascii="Arial" w:eastAsia="Arial" w:hAnsi="Arial" w:cs="Arial"/>
          <w:color w:val="474747"/>
          <w:highlight w:val="white"/>
        </w:rPr>
        <w:t>The B.C. Executive Council (Cabinet) includes the Premier, Cabinet Ministers, and the Lieutenant Governor in Council. It sets the policies and direction of the province and oversees day-to-day government operations.</w:t>
      </w:r>
    </w:p>
    <w:p w14:paraId="436BFFF4" w14:textId="77777777" w:rsidR="000C4D68" w:rsidRDefault="00000000">
      <w:pPr>
        <w:numPr>
          <w:ilvl w:val="0"/>
          <w:numId w:val="2"/>
        </w:numPr>
        <w:spacing w:after="0" w:line="273" w:lineRule="auto"/>
        <w:rPr>
          <w:rFonts w:ascii="Arial" w:eastAsia="Arial" w:hAnsi="Arial" w:cs="Arial"/>
          <w:b/>
          <w:color w:val="474747"/>
          <w:highlight w:val="white"/>
        </w:rPr>
      </w:pPr>
      <w:r>
        <w:rPr>
          <w:rFonts w:ascii="Arial" w:eastAsia="Arial" w:hAnsi="Arial" w:cs="Arial"/>
          <w:b/>
          <w:color w:val="474747"/>
          <w:highlight w:val="white"/>
          <w:u w:val="single"/>
        </w:rPr>
        <w:t>Cabinet Ministers</w:t>
      </w:r>
      <w:r>
        <w:rPr>
          <w:rFonts w:ascii="Arial" w:eastAsia="Arial" w:hAnsi="Arial" w:cs="Arial"/>
          <w:b/>
          <w:color w:val="474747"/>
          <w:highlight w:val="white"/>
        </w:rPr>
        <w:t xml:space="preserve">: </w:t>
      </w:r>
      <w:r>
        <w:rPr>
          <w:rFonts w:ascii="Arial" w:eastAsia="Arial" w:hAnsi="Arial" w:cs="Arial"/>
          <w:color w:val="474747"/>
          <w:highlight w:val="white"/>
        </w:rPr>
        <w:t>Members of the Legislative Assembly (MLAs) appointed by the Premier to lead specific government ministries. These individuals are responsible for policy development and operational decisions within their respective portfolios.</w:t>
      </w:r>
    </w:p>
    <w:p w14:paraId="21470517" w14:textId="77777777" w:rsidR="000C4D68" w:rsidRDefault="00000000">
      <w:pPr>
        <w:numPr>
          <w:ilvl w:val="0"/>
          <w:numId w:val="2"/>
        </w:numPr>
        <w:spacing w:after="240" w:line="273" w:lineRule="auto"/>
        <w:rPr>
          <w:rFonts w:ascii="Arial" w:eastAsia="Arial" w:hAnsi="Arial" w:cs="Arial"/>
          <w:b/>
          <w:color w:val="474747"/>
          <w:highlight w:val="white"/>
        </w:rPr>
      </w:pPr>
      <w:r>
        <w:rPr>
          <w:rFonts w:ascii="Arial" w:eastAsia="Arial" w:hAnsi="Arial" w:cs="Arial"/>
          <w:b/>
          <w:color w:val="474747"/>
          <w:highlight w:val="white"/>
          <w:u w:val="single"/>
        </w:rPr>
        <w:t>Ministers of State</w:t>
      </w:r>
      <w:r>
        <w:rPr>
          <w:rFonts w:ascii="Arial" w:eastAsia="Arial" w:hAnsi="Arial" w:cs="Arial"/>
          <w:b/>
          <w:color w:val="474747"/>
          <w:highlight w:val="white"/>
        </w:rPr>
        <w:t xml:space="preserve">: </w:t>
      </w:r>
      <w:r>
        <w:rPr>
          <w:rFonts w:ascii="Arial" w:eastAsia="Arial" w:hAnsi="Arial" w:cs="Arial"/>
          <w:color w:val="474747"/>
          <w:highlight w:val="white"/>
        </w:rPr>
        <w:t>Junior cabinet members who assist senior ministers in focused policy areas.</w:t>
      </w:r>
    </w:p>
    <w:p w14:paraId="3C9B07D7" w14:textId="77777777" w:rsidR="000C4D68" w:rsidRDefault="000731E4">
      <w:pPr>
        <w:spacing w:line="273" w:lineRule="auto"/>
        <w:ind w:left="720" w:hanging="360"/>
        <w:rPr>
          <w:rFonts w:ascii="Arial" w:eastAsia="Arial" w:hAnsi="Arial" w:cs="Arial"/>
          <w:b/>
          <w:color w:val="474747"/>
          <w:highlight w:val="white"/>
        </w:rPr>
      </w:pPr>
      <w:r>
        <w:rPr>
          <w:noProof/>
        </w:rPr>
        <w:pict w14:anchorId="3CA91D8F">
          <v:rect id="_x0000_i1026" alt="" style="width:6in;height:.05pt;mso-width-percent:0;mso-height-percent:0;mso-width-percent:0;mso-height-percent:0" o:hralign="center" o:hrstd="t" o:hr="t" fillcolor="#a0a0a0" stroked="f"/>
        </w:pict>
      </w:r>
    </w:p>
    <w:p w14:paraId="22889DB2" w14:textId="77777777" w:rsidR="000C4D68" w:rsidRDefault="00000000">
      <w:pPr>
        <w:pStyle w:val="Heading1"/>
        <w:pBdr>
          <w:top w:val="nil"/>
          <w:left w:val="nil"/>
          <w:bottom w:val="nil"/>
          <w:right w:val="nil"/>
          <w:between w:val="nil"/>
        </w:pBdr>
        <w:ind w:hanging="2160"/>
      </w:pPr>
      <w:bookmarkStart w:id="2" w:name="_vj2fqr1zum3n" w:colFirst="0" w:colLast="0"/>
      <w:bookmarkEnd w:id="2"/>
      <w:r>
        <w:t>Relevant Cabinet Members for CSU’s Policies</w:t>
      </w:r>
    </w:p>
    <w:p w14:paraId="6E16804A"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The following ministers are directly relevant to CSU’s advocacy and policy goals:</w:t>
      </w:r>
    </w:p>
    <w:tbl>
      <w:tblPr>
        <w:tblStyle w:val="a"/>
        <w:tblW w:w="957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1665"/>
        <w:gridCol w:w="2595"/>
        <w:gridCol w:w="2685"/>
      </w:tblGrid>
      <w:tr w:rsidR="000C4D68" w14:paraId="2CCB3785" w14:textId="77777777">
        <w:tc>
          <w:tcPr>
            <w:tcW w:w="2625" w:type="dxa"/>
            <w:tcMar>
              <w:top w:w="100" w:type="dxa"/>
              <w:left w:w="100" w:type="dxa"/>
              <w:bottom w:w="100" w:type="dxa"/>
              <w:right w:w="100" w:type="dxa"/>
            </w:tcMar>
          </w:tcPr>
          <w:p w14:paraId="704493C9" w14:textId="77777777" w:rsidR="000C4D68" w:rsidRDefault="00000000">
            <w:pPr>
              <w:widowControl w:val="0"/>
              <w:spacing w:after="0" w:line="240" w:lineRule="auto"/>
              <w:rPr>
                <w:rFonts w:ascii="Arial" w:eastAsia="Arial" w:hAnsi="Arial" w:cs="Arial"/>
                <w:b/>
                <w:color w:val="474747"/>
                <w:highlight w:val="white"/>
              </w:rPr>
            </w:pPr>
            <w:r>
              <w:rPr>
                <w:rFonts w:ascii="Arial" w:eastAsia="Arial" w:hAnsi="Arial" w:cs="Arial"/>
                <w:b/>
                <w:color w:val="474747"/>
                <w:highlight w:val="white"/>
              </w:rPr>
              <w:t>Ministry</w:t>
            </w:r>
          </w:p>
        </w:tc>
        <w:tc>
          <w:tcPr>
            <w:tcW w:w="1665" w:type="dxa"/>
            <w:tcMar>
              <w:top w:w="100" w:type="dxa"/>
              <w:left w:w="100" w:type="dxa"/>
              <w:bottom w:w="100" w:type="dxa"/>
              <w:right w:w="100" w:type="dxa"/>
            </w:tcMar>
          </w:tcPr>
          <w:p w14:paraId="11E67E6F"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Minister</w:t>
            </w:r>
          </w:p>
        </w:tc>
        <w:tc>
          <w:tcPr>
            <w:tcW w:w="2595" w:type="dxa"/>
            <w:tcMar>
              <w:top w:w="100" w:type="dxa"/>
              <w:left w:w="100" w:type="dxa"/>
              <w:bottom w:w="100" w:type="dxa"/>
              <w:right w:w="100" w:type="dxa"/>
            </w:tcMar>
          </w:tcPr>
          <w:p w14:paraId="528D17E7"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CSU advocacy</w:t>
            </w:r>
          </w:p>
        </w:tc>
        <w:tc>
          <w:tcPr>
            <w:tcW w:w="2685" w:type="dxa"/>
            <w:tcMar>
              <w:top w:w="100" w:type="dxa"/>
              <w:left w:w="100" w:type="dxa"/>
              <w:bottom w:w="100" w:type="dxa"/>
              <w:right w:w="100" w:type="dxa"/>
            </w:tcMar>
          </w:tcPr>
          <w:p w14:paraId="09DADFE0"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Notes</w:t>
            </w:r>
          </w:p>
        </w:tc>
      </w:tr>
      <w:tr w:rsidR="000C4D68" w14:paraId="72A48ADC" w14:textId="77777777">
        <w:tc>
          <w:tcPr>
            <w:tcW w:w="2625" w:type="dxa"/>
            <w:tcMar>
              <w:top w:w="100" w:type="dxa"/>
              <w:left w:w="100" w:type="dxa"/>
              <w:bottom w:w="100" w:type="dxa"/>
              <w:right w:w="100" w:type="dxa"/>
            </w:tcMar>
          </w:tcPr>
          <w:p w14:paraId="0B1DA410"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Education and Child Care</w:t>
            </w:r>
          </w:p>
        </w:tc>
        <w:tc>
          <w:tcPr>
            <w:tcW w:w="1665" w:type="dxa"/>
            <w:tcMar>
              <w:top w:w="100" w:type="dxa"/>
              <w:left w:w="100" w:type="dxa"/>
              <w:bottom w:w="100" w:type="dxa"/>
              <w:right w:w="100" w:type="dxa"/>
            </w:tcMar>
          </w:tcPr>
          <w:p w14:paraId="0B2BBCE0"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 xml:space="preserve">Lisa Beare </w:t>
            </w:r>
          </w:p>
        </w:tc>
        <w:tc>
          <w:tcPr>
            <w:tcW w:w="2595" w:type="dxa"/>
            <w:tcMar>
              <w:top w:w="100" w:type="dxa"/>
              <w:left w:w="100" w:type="dxa"/>
              <w:bottom w:w="100" w:type="dxa"/>
              <w:right w:w="100" w:type="dxa"/>
            </w:tcMar>
          </w:tcPr>
          <w:p w14:paraId="27F9A6A8"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 xml:space="preserve">Early Childhood Education </w:t>
            </w:r>
          </w:p>
          <w:p w14:paraId="2F7B473C" w14:textId="77777777" w:rsidR="000C4D68" w:rsidRDefault="000C4D68">
            <w:pPr>
              <w:widowControl w:val="0"/>
              <w:pBdr>
                <w:top w:val="nil"/>
                <w:left w:val="nil"/>
                <w:bottom w:val="nil"/>
                <w:right w:val="nil"/>
                <w:between w:val="nil"/>
              </w:pBdr>
              <w:spacing w:after="0" w:line="240" w:lineRule="auto"/>
              <w:rPr>
                <w:rFonts w:ascii="Arial" w:eastAsia="Arial" w:hAnsi="Arial" w:cs="Arial"/>
                <w:b/>
                <w:color w:val="474747"/>
                <w:highlight w:val="white"/>
              </w:rPr>
            </w:pPr>
          </w:p>
        </w:tc>
        <w:tc>
          <w:tcPr>
            <w:tcW w:w="2685" w:type="dxa"/>
            <w:tcMar>
              <w:top w:w="100" w:type="dxa"/>
              <w:left w:w="100" w:type="dxa"/>
              <w:bottom w:w="100" w:type="dxa"/>
              <w:right w:w="100" w:type="dxa"/>
            </w:tcMar>
          </w:tcPr>
          <w:p w14:paraId="27689839"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color w:val="474747"/>
                <w:highlight w:val="white"/>
              </w:rPr>
              <w:t>Previously Minister of Post-Secondary Education and Future Skills</w:t>
            </w:r>
          </w:p>
        </w:tc>
      </w:tr>
      <w:tr w:rsidR="000C4D68" w14:paraId="25D564D7" w14:textId="77777777">
        <w:tc>
          <w:tcPr>
            <w:tcW w:w="2625" w:type="dxa"/>
            <w:tcMar>
              <w:top w:w="100" w:type="dxa"/>
              <w:left w:w="100" w:type="dxa"/>
              <w:bottom w:w="100" w:type="dxa"/>
              <w:right w:w="100" w:type="dxa"/>
            </w:tcMar>
          </w:tcPr>
          <w:p w14:paraId="2D70170E"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Post-Secondary Education and Future Skills</w:t>
            </w:r>
          </w:p>
        </w:tc>
        <w:tc>
          <w:tcPr>
            <w:tcW w:w="1665" w:type="dxa"/>
            <w:tcMar>
              <w:top w:w="100" w:type="dxa"/>
              <w:left w:w="100" w:type="dxa"/>
              <w:bottom w:w="100" w:type="dxa"/>
              <w:right w:w="100" w:type="dxa"/>
            </w:tcMar>
          </w:tcPr>
          <w:p w14:paraId="40313499"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 xml:space="preserve">Anne Kang </w:t>
            </w:r>
          </w:p>
          <w:p w14:paraId="3ABBBA7B" w14:textId="77777777" w:rsidR="000C4D68" w:rsidRDefault="000C4D68">
            <w:pPr>
              <w:widowControl w:val="0"/>
              <w:pBdr>
                <w:top w:val="nil"/>
                <w:left w:val="nil"/>
                <w:bottom w:val="nil"/>
                <w:right w:val="nil"/>
                <w:between w:val="nil"/>
              </w:pBdr>
              <w:spacing w:after="0" w:line="240" w:lineRule="auto"/>
              <w:rPr>
                <w:rFonts w:ascii="Arial" w:eastAsia="Arial" w:hAnsi="Arial" w:cs="Arial"/>
                <w:b/>
                <w:color w:val="474747"/>
                <w:highlight w:val="white"/>
              </w:rPr>
            </w:pPr>
          </w:p>
        </w:tc>
        <w:tc>
          <w:tcPr>
            <w:tcW w:w="2595" w:type="dxa"/>
            <w:tcMar>
              <w:top w:w="100" w:type="dxa"/>
              <w:left w:w="100" w:type="dxa"/>
              <w:bottom w:w="100" w:type="dxa"/>
              <w:right w:w="100" w:type="dxa"/>
            </w:tcMar>
          </w:tcPr>
          <w:p w14:paraId="4EEDE5E9"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 xml:space="preserve">Student Housing, </w:t>
            </w:r>
          </w:p>
          <w:p w14:paraId="179A04B2"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International Student Healthcare Fees, International student tuition</w:t>
            </w:r>
          </w:p>
          <w:p w14:paraId="0AB2ED78" w14:textId="77777777" w:rsidR="000C4D68" w:rsidRDefault="000C4D68">
            <w:pPr>
              <w:widowControl w:val="0"/>
              <w:pBdr>
                <w:top w:val="nil"/>
                <w:left w:val="nil"/>
                <w:bottom w:val="nil"/>
                <w:right w:val="nil"/>
                <w:between w:val="nil"/>
              </w:pBdr>
              <w:spacing w:after="0" w:line="240" w:lineRule="auto"/>
              <w:rPr>
                <w:rFonts w:ascii="Arial" w:eastAsia="Arial" w:hAnsi="Arial" w:cs="Arial"/>
                <w:b/>
                <w:color w:val="474747"/>
                <w:highlight w:val="white"/>
              </w:rPr>
            </w:pPr>
          </w:p>
        </w:tc>
        <w:tc>
          <w:tcPr>
            <w:tcW w:w="2685" w:type="dxa"/>
            <w:tcMar>
              <w:top w:w="100" w:type="dxa"/>
              <w:left w:w="100" w:type="dxa"/>
              <w:bottom w:w="100" w:type="dxa"/>
              <w:right w:w="100" w:type="dxa"/>
            </w:tcMar>
          </w:tcPr>
          <w:p w14:paraId="0D4CCF0B"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color w:val="474747"/>
                <w:highlight w:val="white"/>
              </w:rPr>
              <w:t>Previously held a position in municipal affairs, which is now part of the housing ministry</w:t>
            </w:r>
            <w:r>
              <w:rPr>
                <w:rFonts w:ascii="Arial" w:eastAsia="Arial" w:hAnsi="Arial" w:cs="Arial"/>
                <w:b/>
                <w:color w:val="474747"/>
                <w:highlight w:val="white"/>
              </w:rPr>
              <w:t>.</w:t>
            </w:r>
          </w:p>
          <w:p w14:paraId="56AF802F" w14:textId="77777777" w:rsidR="000C4D68" w:rsidRDefault="000C4D68">
            <w:pPr>
              <w:widowControl w:val="0"/>
              <w:pBdr>
                <w:top w:val="nil"/>
                <w:left w:val="nil"/>
                <w:bottom w:val="nil"/>
                <w:right w:val="nil"/>
                <w:between w:val="nil"/>
              </w:pBdr>
              <w:spacing w:after="0" w:line="240" w:lineRule="auto"/>
              <w:rPr>
                <w:rFonts w:ascii="Arial" w:eastAsia="Arial" w:hAnsi="Arial" w:cs="Arial"/>
                <w:b/>
                <w:color w:val="474747"/>
                <w:highlight w:val="white"/>
              </w:rPr>
            </w:pPr>
          </w:p>
        </w:tc>
      </w:tr>
      <w:tr w:rsidR="000C4D68" w14:paraId="52ABF6BB" w14:textId="77777777">
        <w:tc>
          <w:tcPr>
            <w:tcW w:w="2625" w:type="dxa"/>
            <w:tcMar>
              <w:top w:w="100" w:type="dxa"/>
              <w:left w:w="100" w:type="dxa"/>
              <w:bottom w:w="100" w:type="dxa"/>
              <w:right w:w="100" w:type="dxa"/>
            </w:tcMar>
          </w:tcPr>
          <w:p w14:paraId="068A56D0"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lastRenderedPageBreak/>
              <w:t>Energy and Climate Solutions</w:t>
            </w:r>
          </w:p>
        </w:tc>
        <w:tc>
          <w:tcPr>
            <w:tcW w:w="1665" w:type="dxa"/>
            <w:tcMar>
              <w:top w:w="100" w:type="dxa"/>
              <w:left w:w="100" w:type="dxa"/>
              <w:bottom w:w="100" w:type="dxa"/>
              <w:right w:w="100" w:type="dxa"/>
            </w:tcMar>
          </w:tcPr>
          <w:p w14:paraId="043120B7"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Adrian Dix</w:t>
            </w:r>
          </w:p>
        </w:tc>
        <w:tc>
          <w:tcPr>
            <w:tcW w:w="2595" w:type="dxa"/>
            <w:tcMar>
              <w:top w:w="100" w:type="dxa"/>
              <w:left w:w="100" w:type="dxa"/>
              <w:bottom w:w="100" w:type="dxa"/>
              <w:right w:w="100" w:type="dxa"/>
            </w:tcMar>
          </w:tcPr>
          <w:p w14:paraId="6BC0B3F7"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 xml:space="preserve">Mitigating Climate </w:t>
            </w:r>
            <w:proofErr w:type="gramStart"/>
            <w:r>
              <w:rPr>
                <w:rFonts w:ascii="Arial" w:eastAsia="Arial" w:hAnsi="Arial" w:cs="Arial"/>
                <w:b/>
                <w:color w:val="474747"/>
                <w:highlight w:val="white"/>
              </w:rPr>
              <w:t>Change  policy</w:t>
            </w:r>
            <w:proofErr w:type="gramEnd"/>
            <w:r>
              <w:rPr>
                <w:rFonts w:ascii="Arial" w:eastAsia="Arial" w:hAnsi="Arial" w:cs="Arial"/>
                <w:b/>
                <w:color w:val="474747"/>
                <w:highlight w:val="white"/>
              </w:rPr>
              <w:t xml:space="preserve"> - public transit</w:t>
            </w:r>
          </w:p>
        </w:tc>
        <w:tc>
          <w:tcPr>
            <w:tcW w:w="2685" w:type="dxa"/>
            <w:tcMar>
              <w:top w:w="100" w:type="dxa"/>
              <w:left w:w="100" w:type="dxa"/>
              <w:bottom w:w="100" w:type="dxa"/>
              <w:right w:w="100" w:type="dxa"/>
            </w:tcMar>
          </w:tcPr>
          <w:p w14:paraId="5AC5005E"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color w:val="474747"/>
                <w:highlight w:val="white"/>
              </w:rPr>
              <w:t>Former Minister of Health</w:t>
            </w:r>
          </w:p>
        </w:tc>
      </w:tr>
      <w:tr w:rsidR="000C4D68" w14:paraId="015795DC" w14:textId="77777777">
        <w:tc>
          <w:tcPr>
            <w:tcW w:w="2625" w:type="dxa"/>
            <w:tcMar>
              <w:top w:w="100" w:type="dxa"/>
              <w:left w:w="100" w:type="dxa"/>
              <w:bottom w:w="100" w:type="dxa"/>
              <w:right w:w="100" w:type="dxa"/>
            </w:tcMar>
          </w:tcPr>
          <w:p w14:paraId="2A2542F2"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Infrastructure</w:t>
            </w:r>
          </w:p>
          <w:p w14:paraId="7285FDAD" w14:textId="77777777" w:rsidR="000C4D68" w:rsidRDefault="000C4D68">
            <w:pPr>
              <w:widowControl w:val="0"/>
              <w:pBdr>
                <w:top w:val="nil"/>
                <w:left w:val="nil"/>
                <w:bottom w:val="nil"/>
                <w:right w:val="nil"/>
                <w:between w:val="nil"/>
              </w:pBdr>
              <w:spacing w:after="0" w:line="240" w:lineRule="auto"/>
              <w:rPr>
                <w:rFonts w:ascii="Arial" w:eastAsia="Arial" w:hAnsi="Arial" w:cs="Arial"/>
                <w:b/>
                <w:color w:val="474747"/>
                <w:highlight w:val="white"/>
              </w:rPr>
            </w:pPr>
          </w:p>
        </w:tc>
        <w:tc>
          <w:tcPr>
            <w:tcW w:w="1665" w:type="dxa"/>
            <w:tcMar>
              <w:top w:w="100" w:type="dxa"/>
              <w:left w:w="100" w:type="dxa"/>
              <w:bottom w:w="100" w:type="dxa"/>
              <w:right w:w="100" w:type="dxa"/>
            </w:tcMar>
          </w:tcPr>
          <w:p w14:paraId="1961C5CB" w14:textId="77777777" w:rsidR="000C4D68" w:rsidRDefault="00000000">
            <w:pPr>
              <w:spacing w:before="240" w:after="240" w:line="273" w:lineRule="auto"/>
              <w:rPr>
                <w:rFonts w:ascii="Arial" w:eastAsia="Arial" w:hAnsi="Arial" w:cs="Arial"/>
                <w:b/>
                <w:color w:val="474747"/>
                <w:highlight w:val="white"/>
              </w:rPr>
            </w:pPr>
            <w:proofErr w:type="spellStart"/>
            <w:r>
              <w:rPr>
                <w:rFonts w:ascii="Arial" w:eastAsia="Arial" w:hAnsi="Arial" w:cs="Arial"/>
                <w:b/>
                <w:color w:val="474747"/>
                <w:highlight w:val="white"/>
              </w:rPr>
              <w:t>Bowinn</w:t>
            </w:r>
            <w:proofErr w:type="spellEnd"/>
            <w:r>
              <w:rPr>
                <w:rFonts w:ascii="Arial" w:eastAsia="Arial" w:hAnsi="Arial" w:cs="Arial"/>
                <w:b/>
                <w:color w:val="474747"/>
                <w:highlight w:val="white"/>
              </w:rPr>
              <w:t xml:space="preserve"> Ma</w:t>
            </w:r>
          </w:p>
        </w:tc>
        <w:tc>
          <w:tcPr>
            <w:tcW w:w="2595" w:type="dxa"/>
            <w:tcMar>
              <w:top w:w="100" w:type="dxa"/>
              <w:left w:w="100" w:type="dxa"/>
              <w:bottom w:w="100" w:type="dxa"/>
              <w:right w:w="100" w:type="dxa"/>
            </w:tcMar>
          </w:tcPr>
          <w:p w14:paraId="56EDBE75"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Student Housing, Public Transit to North Shore</w:t>
            </w:r>
          </w:p>
        </w:tc>
        <w:tc>
          <w:tcPr>
            <w:tcW w:w="2685" w:type="dxa"/>
            <w:tcMar>
              <w:top w:w="100" w:type="dxa"/>
              <w:left w:w="100" w:type="dxa"/>
              <w:bottom w:w="100" w:type="dxa"/>
              <w:right w:w="100" w:type="dxa"/>
            </w:tcMar>
          </w:tcPr>
          <w:p w14:paraId="79B073CE"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color w:val="474747"/>
                <w:highlight w:val="white"/>
              </w:rPr>
              <w:t>North Vancouver-Lonsdale MLA, formerly managed Emergency Management and Climate Readiness</w:t>
            </w:r>
          </w:p>
        </w:tc>
      </w:tr>
      <w:tr w:rsidR="000C4D68" w14:paraId="6DCCE618" w14:textId="77777777">
        <w:tc>
          <w:tcPr>
            <w:tcW w:w="2625" w:type="dxa"/>
            <w:tcMar>
              <w:top w:w="100" w:type="dxa"/>
              <w:left w:w="100" w:type="dxa"/>
              <w:bottom w:w="100" w:type="dxa"/>
              <w:right w:w="100" w:type="dxa"/>
            </w:tcMar>
          </w:tcPr>
          <w:p w14:paraId="181CBB51"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Housing and Municipal Affairs</w:t>
            </w:r>
          </w:p>
        </w:tc>
        <w:tc>
          <w:tcPr>
            <w:tcW w:w="1665" w:type="dxa"/>
            <w:tcMar>
              <w:top w:w="100" w:type="dxa"/>
              <w:left w:w="100" w:type="dxa"/>
              <w:bottom w:w="100" w:type="dxa"/>
              <w:right w:w="100" w:type="dxa"/>
            </w:tcMar>
          </w:tcPr>
          <w:p w14:paraId="214AD437"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Ravi Kahlon</w:t>
            </w:r>
          </w:p>
        </w:tc>
        <w:tc>
          <w:tcPr>
            <w:tcW w:w="2595" w:type="dxa"/>
            <w:tcMar>
              <w:top w:w="100" w:type="dxa"/>
              <w:left w:w="100" w:type="dxa"/>
              <w:bottom w:w="100" w:type="dxa"/>
              <w:right w:w="100" w:type="dxa"/>
            </w:tcMar>
          </w:tcPr>
          <w:p w14:paraId="4EBC1364"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Student Housing</w:t>
            </w:r>
          </w:p>
        </w:tc>
        <w:tc>
          <w:tcPr>
            <w:tcW w:w="2685" w:type="dxa"/>
            <w:tcMar>
              <w:top w:w="100" w:type="dxa"/>
              <w:left w:w="100" w:type="dxa"/>
              <w:bottom w:w="100" w:type="dxa"/>
              <w:right w:w="100" w:type="dxa"/>
            </w:tcMar>
          </w:tcPr>
          <w:p w14:paraId="2040B783"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color w:val="474747"/>
                <w:highlight w:val="white"/>
              </w:rPr>
              <w:t>Housing portfolio now includes municipal affairs</w:t>
            </w:r>
          </w:p>
        </w:tc>
      </w:tr>
      <w:tr w:rsidR="000C4D68" w14:paraId="4EC3E73C" w14:textId="77777777">
        <w:tc>
          <w:tcPr>
            <w:tcW w:w="2625" w:type="dxa"/>
            <w:tcMar>
              <w:top w:w="100" w:type="dxa"/>
              <w:left w:w="100" w:type="dxa"/>
              <w:bottom w:w="100" w:type="dxa"/>
              <w:right w:w="100" w:type="dxa"/>
            </w:tcMar>
          </w:tcPr>
          <w:p w14:paraId="68A407D3"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202020"/>
                <w:highlight w:val="white"/>
              </w:rPr>
              <w:t>Transportation and Transit Ministry</w:t>
            </w:r>
            <w:r>
              <w:rPr>
                <w:rFonts w:ascii="Arial" w:eastAsia="Arial" w:hAnsi="Arial" w:cs="Arial"/>
                <w:b/>
                <w:color w:val="474747"/>
                <w:highlight w:val="white"/>
              </w:rPr>
              <w:t xml:space="preserve"> </w:t>
            </w:r>
          </w:p>
        </w:tc>
        <w:tc>
          <w:tcPr>
            <w:tcW w:w="1665" w:type="dxa"/>
            <w:tcMar>
              <w:top w:w="100" w:type="dxa"/>
              <w:left w:w="100" w:type="dxa"/>
              <w:bottom w:w="100" w:type="dxa"/>
              <w:right w:w="100" w:type="dxa"/>
            </w:tcMar>
          </w:tcPr>
          <w:p w14:paraId="77CD1313"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Mike Farnworth</w:t>
            </w:r>
          </w:p>
        </w:tc>
        <w:tc>
          <w:tcPr>
            <w:tcW w:w="2595" w:type="dxa"/>
            <w:tcMar>
              <w:top w:w="100" w:type="dxa"/>
              <w:left w:w="100" w:type="dxa"/>
              <w:bottom w:w="100" w:type="dxa"/>
              <w:right w:w="100" w:type="dxa"/>
            </w:tcMar>
          </w:tcPr>
          <w:p w14:paraId="1161AF8C"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 xml:space="preserve">Public Transportation, Climate Change </w:t>
            </w:r>
          </w:p>
        </w:tc>
        <w:tc>
          <w:tcPr>
            <w:tcW w:w="2685" w:type="dxa"/>
            <w:tcMar>
              <w:top w:w="100" w:type="dxa"/>
              <w:left w:w="100" w:type="dxa"/>
              <w:bottom w:w="100" w:type="dxa"/>
              <w:right w:w="100" w:type="dxa"/>
            </w:tcMar>
          </w:tcPr>
          <w:p w14:paraId="6B985A0F" w14:textId="77777777" w:rsidR="000C4D68" w:rsidRDefault="00000000">
            <w:pPr>
              <w:spacing w:before="240" w:after="240" w:line="273" w:lineRule="auto"/>
              <w:rPr>
                <w:rFonts w:ascii="Arial" w:eastAsia="Arial" w:hAnsi="Arial" w:cs="Arial"/>
                <w:b/>
                <w:color w:val="474747"/>
                <w:highlight w:val="white"/>
              </w:rPr>
            </w:pPr>
            <w:proofErr w:type="gramStart"/>
            <w:r>
              <w:rPr>
                <w:rFonts w:ascii="Arial" w:eastAsia="Arial" w:hAnsi="Arial" w:cs="Arial"/>
                <w:color w:val="474747"/>
                <w:highlight w:val="white"/>
              </w:rPr>
              <w:t>Also</w:t>
            </w:r>
            <w:proofErr w:type="gramEnd"/>
            <w:r>
              <w:rPr>
                <w:rFonts w:ascii="Arial" w:eastAsia="Arial" w:hAnsi="Arial" w:cs="Arial"/>
                <w:color w:val="474747"/>
                <w:highlight w:val="white"/>
              </w:rPr>
              <w:t xml:space="preserve"> House Leader; previously Deputy Premier</w:t>
            </w:r>
          </w:p>
        </w:tc>
      </w:tr>
      <w:tr w:rsidR="000C4D68" w14:paraId="0534FC9E" w14:textId="77777777">
        <w:tc>
          <w:tcPr>
            <w:tcW w:w="2625" w:type="dxa"/>
            <w:tcMar>
              <w:top w:w="100" w:type="dxa"/>
              <w:left w:w="100" w:type="dxa"/>
              <w:bottom w:w="100" w:type="dxa"/>
              <w:right w:w="100" w:type="dxa"/>
            </w:tcMar>
          </w:tcPr>
          <w:p w14:paraId="4C8AD751"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Health</w:t>
            </w:r>
          </w:p>
        </w:tc>
        <w:tc>
          <w:tcPr>
            <w:tcW w:w="1665" w:type="dxa"/>
            <w:tcMar>
              <w:top w:w="100" w:type="dxa"/>
              <w:left w:w="100" w:type="dxa"/>
              <w:bottom w:w="100" w:type="dxa"/>
              <w:right w:w="100" w:type="dxa"/>
            </w:tcMar>
          </w:tcPr>
          <w:p w14:paraId="05731532"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Josie Osborne</w:t>
            </w:r>
          </w:p>
        </w:tc>
        <w:tc>
          <w:tcPr>
            <w:tcW w:w="2595" w:type="dxa"/>
            <w:tcMar>
              <w:top w:w="100" w:type="dxa"/>
              <w:left w:w="100" w:type="dxa"/>
              <w:bottom w:w="100" w:type="dxa"/>
              <w:right w:w="100" w:type="dxa"/>
            </w:tcMar>
          </w:tcPr>
          <w:p w14:paraId="2B00DFAE" w14:textId="77777777" w:rsidR="000C4D68" w:rsidRDefault="00000000">
            <w:pPr>
              <w:widowControl w:val="0"/>
              <w:pBdr>
                <w:top w:val="nil"/>
                <w:left w:val="nil"/>
                <w:bottom w:val="nil"/>
                <w:right w:val="nil"/>
                <w:between w:val="nil"/>
              </w:pBdr>
              <w:spacing w:after="0" w:line="240" w:lineRule="auto"/>
              <w:rPr>
                <w:rFonts w:ascii="Arial" w:eastAsia="Arial" w:hAnsi="Arial" w:cs="Arial"/>
                <w:b/>
                <w:color w:val="474747"/>
                <w:highlight w:val="white"/>
              </w:rPr>
            </w:pPr>
            <w:r>
              <w:rPr>
                <w:rFonts w:ascii="Arial" w:eastAsia="Arial" w:hAnsi="Arial" w:cs="Arial"/>
                <w:b/>
                <w:color w:val="474747"/>
                <w:highlight w:val="white"/>
              </w:rPr>
              <w:t>International student health fee</w:t>
            </w:r>
          </w:p>
        </w:tc>
        <w:tc>
          <w:tcPr>
            <w:tcW w:w="2685" w:type="dxa"/>
            <w:tcMar>
              <w:top w:w="100" w:type="dxa"/>
              <w:left w:w="100" w:type="dxa"/>
              <w:bottom w:w="100" w:type="dxa"/>
              <w:right w:w="100" w:type="dxa"/>
            </w:tcMar>
          </w:tcPr>
          <w:p w14:paraId="5B91D8BF"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color w:val="474747"/>
                <w:highlight w:val="white"/>
              </w:rPr>
              <w:t>Moved from Energy and Climate Solutions</w:t>
            </w:r>
          </w:p>
        </w:tc>
      </w:tr>
    </w:tbl>
    <w:p w14:paraId="5CCBFC15" w14:textId="77777777" w:rsidR="000C4D68" w:rsidRDefault="000C4D68">
      <w:pPr>
        <w:spacing w:before="240" w:after="240" w:line="273" w:lineRule="auto"/>
        <w:rPr>
          <w:rFonts w:ascii="Arial" w:eastAsia="Arial" w:hAnsi="Arial" w:cs="Arial"/>
          <w:b/>
          <w:color w:val="474747"/>
          <w:highlight w:val="white"/>
        </w:rPr>
      </w:pPr>
    </w:p>
    <w:p w14:paraId="1892A4CC" w14:textId="77777777" w:rsidR="000C4D68" w:rsidRDefault="000731E4">
      <w:pPr>
        <w:spacing w:line="273" w:lineRule="auto"/>
        <w:ind w:left="720" w:hanging="360"/>
        <w:rPr>
          <w:rFonts w:ascii="Arial" w:eastAsia="Arial" w:hAnsi="Arial" w:cs="Arial"/>
          <w:color w:val="474747"/>
          <w:sz w:val="26"/>
          <w:szCs w:val="26"/>
          <w:highlight w:val="white"/>
        </w:rPr>
      </w:pPr>
      <w:r>
        <w:rPr>
          <w:noProof/>
        </w:rPr>
        <w:pict w14:anchorId="28C764AC">
          <v:rect id="_x0000_i1025" alt="" style="width:431.95pt;height:.05pt;mso-width-percent:0;mso-height-percent:0;mso-width-percent:0;mso-height-percent:0" o:hrpct="923" o:hralign="center" o:hrstd="t" o:hr="t" fillcolor="#a0a0a0" stroked="f"/>
        </w:pict>
      </w:r>
    </w:p>
    <w:p w14:paraId="4CC8E08E" w14:textId="77777777" w:rsidR="000C4D68" w:rsidRDefault="00000000">
      <w:pPr>
        <w:spacing w:before="240" w:after="240" w:line="273" w:lineRule="auto"/>
        <w:rPr>
          <w:rFonts w:ascii="Arial" w:eastAsia="Arial" w:hAnsi="Arial" w:cs="Arial"/>
          <w:b/>
          <w:color w:val="474747"/>
          <w:highlight w:val="white"/>
        </w:rPr>
      </w:pPr>
      <w:r>
        <w:rPr>
          <w:rFonts w:ascii="Arial" w:eastAsia="Arial" w:hAnsi="Arial" w:cs="Arial"/>
          <w:b/>
          <w:color w:val="474747"/>
          <w:highlight w:val="white"/>
        </w:rPr>
        <w:t>The following cabinet members are noteworthy, but less directly relevant to CSU’s primary advocacy areas:</w:t>
      </w:r>
    </w:p>
    <w:p w14:paraId="515B7523" w14:textId="77777777" w:rsidR="000C4D68" w:rsidRDefault="00000000">
      <w:pPr>
        <w:numPr>
          <w:ilvl w:val="0"/>
          <w:numId w:val="1"/>
        </w:numPr>
        <w:spacing w:before="240" w:after="0" w:line="273" w:lineRule="auto"/>
        <w:rPr>
          <w:rFonts w:ascii="Arial" w:eastAsia="Arial" w:hAnsi="Arial" w:cs="Arial"/>
          <w:b/>
          <w:color w:val="474747"/>
          <w:highlight w:val="white"/>
        </w:rPr>
      </w:pPr>
      <w:r>
        <w:rPr>
          <w:rFonts w:ascii="Arial" w:eastAsia="Arial" w:hAnsi="Arial" w:cs="Arial"/>
          <w:b/>
          <w:color w:val="474747"/>
          <w:highlight w:val="white"/>
        </w:rPr>
        <w:t xml:space="preserve">Attorney General and Deputy Premier: </w:t>
      </w:r>
      <w:r>
        <w:rPr>
          <w:rFonts w:ascii="Arial" w:eastAsia="Arial" w:hAnsi="Arial" w:cs="Arial"/>
          <w:color w:val="474747"/>
          <w:highlight w:val="white"/>
        </w:rPr>
        <w:t xml:space="preserve">Niki Sharma </w:t>
      </w:r>
    </w:p>
    <w:p w14:paraId="3CA9997B" w14:textId="77777777" w:rsidR="000C4D68" w:rsidRDefault="00000000">
      <w:pPr>
        <w:numPr>
          <w:ilvl w:val="0"/>
          <w:numId w:val="1"/>
        </w:numPr>
        <w:spacing w:after="0" w:line="273" w:lineRule="auto"/>
        <w:rPr>
          <w:rFonts w:ascii="Arial" w:eastAsia="Arial" w:hAnsi="Arial" w:cs="Arial"/>
          <w:b/>
          <w:color w:val="474747"/>
          <w:highlight w:val="white"/>
        </w:rPr>
      </w:pPr>
      <w:r>
        <w:rPr>
          <w:rFonts w:ascii="Arial" w:eastAsia="Arial" w:hAnsi="Arial" w:cs="Arial"/>
          <w:b/>
          <w:color w:val="474747"/>
          <w:highlight w:val="white"/>
        </w:rPr>
        <w:t xml:space="preserve">Emergency Management and Climate Readiness: </w:t>
      </w:r>
      <w:r>
        <w:rPr>
          <w:rFonts w:ascii="Arial" w:eastAsia="Arial" w:hAnsi="Arial" w:cs="Arial"/>
          <w:color w:val="474747"/>
          <w:highlight w:val="white"/>
        </w:rPr>
        <w:t>Kelly Greene</w:t>
      </w:r>
    </w:p>
    <w:p w14:paraId="5171CE63" w14:textId="77777777" w:rsidR="000C4D68" w:rsidRDefault="00000000">
      <w:pPr>
        <w:numPr>
          <w:ilvl w:val="0"/>
          <w:numId w:val="1"/>
        </w:numPr>
        <w:spacing w:after="0" w:line="273" w:lineRule="auto"/>
        <w:rPr>
          <w:rFonts w:ascii="Arial" w:eastAsia="Arial" w:hAnsi="Arial" w:cs="Arial"/>
          <w:b/>
          <w:color w:val="474747"/>
          <w:highlight w:val="white"/>
        </w:rPr>
      </w:pPr>
      <w:proofErr w:type="spellStart"/>
      <w:r>
        <w:rPr>
          <w:rFonts w:ascii="Arial" w:eastAsia="Arial" w:hAnsi="Arial" w:cs="Arial"/>
          <w:b/>
          <w:color w:val="474747"/>
          <w:highlight w:val="white"/>
        </w:rPr>
        <w:t>Labour</w:t>
      </w:r>
      <w:proofErr w:type="spellEnd"/>
      <w:r>
        <w:rPr>
          <w:rFonts w:ascii="Arial" w:eastAsia="Arial" w:hAnsi="Arial" w:cs="Arial"/>
          <w:b/>
          <w:color w:val="474747"/>
          <w:highlight w:val="white"/>
        </w:rPr>
        <w:t xml:space="preserve">: </w:t>
      </w:r>
      <w:r>
        <w:rPr>
          <w:rFonts w:ascii="Arial" w:eastAsia="Arial" w:hAnsi="Arial" w:cs="Arial"/>
          <w:color w:val="474747"/>
          <w:highlight w:val="white"/>
        </w:rPr>
        <w:t>Jennifer Whiteside</w:t>
      </w:r>
    </w:p>
    <w:p w14:paraId="1607897A" w14:textId="77777777" w:rsidR="000C4D68" w:rsidRDefault="00000000">
      <w:pPr>
        <w:numPr>
          <w:ilvl w:val="0"/>
          <w:numId w:val="1"/>
        </w:numPr>
        <w:spacing w:after="0" w:line="273" w:lineRule="auto"/>
        <w:rPr>
          <w:rFonts w:ascii="Arial" w:eastAsia="Arial" w:hAnsi="Arial" w:cs="Arial"/>
          <w:b/>
          <w:color w:val="474747"/>
          <w:highlight w:val="white"/>
        </w:rPr>
      </w:pPr>
      <w:r>
        <w:rPr>
          <w:rFonts w:ascii="Arial" w:eastAsia="Arial" w:hAnsi="Arial" w:cs="Arial"/>
          <w:b/>
          <w:color w:val="474747"/>
          <w:highlight w:val="white"/>
        </w:rPr>
        <w:t xml:space="preserve">Environment and Parks: </w:t>
      </w:r>
      <w:r>
        <w:rPr>
          <w:rFonts w:ascii="Arial" w:eastAsia="Arial" w:hAnsi="Arial" w:cs="Arial"/>
          <w:color w:val="474747"/>
          <w:highlight w:val="white"/>
        </w:rPr>
        <w:t>Tamara Davidson</w:t>
      </w:r>
    </w:p>
    <w:p w14:paraId="3A31DB2C" w14:textId="77777777" w:rsidR="000C4D68" w:rsidRDefault="00000000">
      <w:pPr>
        <w:numPr>
          <w:ilvl w:val="0"/>
          <w:numId w:val="1"/>
        </w:numPr>
        <w:spacing w:after="0" w:line="273" w:lineRule="auto"/>
        <w:rPr>
          <w:rFonts w:ascii="Arial" w:eastAsia="Arial" w:hAnsi="Arial" w:cs="Arial"/>
          <w:b/>
          <w:color w:val="474747"/>
          <w:highlight w:val="white"/>
        </w:rPr>
      </w:pPr>
      <w:r>
        <w:rPr>
          <w:rFonts w:ascii="Arial" w:eastAsia="Arial" w:hAnsi="Arial" w:cs="Arial"/>
          <w:b/>
          <w:color w:val="474747"/>
          <w:highlight w:val="white"/>
        </w:rPr>
        <w:lastRenderedPageBreak/>
        <w:t xml:space="preserve">Finance: </w:t>
      </w:r>
      <w:r>
        <w:rPr>
          <w:rFonts w:ascii="Arial" w:eastAsia="Arial" w:hAnsi="Arial" w:cs="Arial"/>
          <w:color w:val="474747"/>
          <w:highlight w:val="white"/>
        </w:rPr>
        <w:t xml:space="preserve">Brenda Bailey </w:t>
      </w:r>
      <w:r>
        <w:rPr>
          <w:rFonts w:ascii="Arial" w:eastAsia="Arial" w:hAnsi="Arial" w:cs="Arial"/>
          <w:b/>
          <w:color w:val="474747"/>
          <w:highlight w:val="white"/>
        </w:rPr>
        <w:t>(</w:t>
      </w:r>
      <w:r>
        <w:rPr>
          <w:rFonts w:ascii="Arial" w:eastAsia="Arial" w:hAnsi="Arial" w:cs="Arial"/>
          <w:color w:val="474747"/>
          <w:highlight w:val="white"/>
        </w:rPr>
        <w:t>Former tech entrepreneur, moved from Jobs, Economic Development, and Innovation Ministry</w:t>
      </w:r>
      <w:r>
        <w:rPr>
          <w:rFonts w:ascii="Arial" w:eastAsia="Arial" w:hAnsi="Arial" w:cs="Arial"/>
          <w:b/>
          <w:color w:val="474747"/>
          <w:highlight w:val="white"/>
        </w:rPr>
        <w:t>).</w:t>
      </w:r>
    </w:p>
    <w:p w14:paraId="25B1F643" w14:textId="77777777" w:rsidR="000C4D68" w:rsidRDefault="00000000">
      <w:pPr>
        <w:numPr>
          <w:ilvl w:val="0"/>
          <w:numId w:val="1"/>
        </w:numPr>
        <w:spacing w:after="240" w:line="273" w:lineRule="auto"/>
        <w:rPr>
          <w:rFonts w:ascii="Arial" w:eastAsia="Arial" w:hAnsi="Arial" w:cs="Arial"/>
          <w:b/>
          <w:color w:val="474747"/>
          <w:highlight w:val="white"/>
        </w:rPr>
      </w:pPr>
      <w:r>
        <w:rPr>
          <w:rFonts w:ascii="Arial" w:eastAsia="Arial" w:hAnsi="Arial" w:cs="Arial"/>
          <w:b/>
          <w:color w:val="474747"/>
          <w:highlight w:val="white"/>
        </w:rPr>
        <w:t xml:space="preserve">Social Development and Poverty Reduction: </w:t>
      </w:r>
      <w:r>
        <w:rPr>
          <w:rFonts w:ascii="Arial" w:eastAsia="Arial" w:hAnsi="Arial" w:cs="Arial"/>
          <w:color w:val="474747"/>
          <w:highlight w:val="white"/>
        </w:rPr>
        <w:t>Sheila Malcolmson</w:t>
      </w:r>
    </w:p>
    <w:sectPr w:rsidR="000C4D68">
      <w:headerReference w:type="default" r:id="rId7"/>
      <w:foot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1D0BF" w14:textId="77777777" w:rsidR="000731E4" w:rsidRDefault="000731E4">
      <w:pPr>
        <w:spacing w:after="0" w:line="240" w:lineRule="auto"/>
      </w:pPr>
      <w:r>
        <w:separator/>
      </w:r>
    </w:p>
  </w:endnote>
  <w:endnote w:type="continuationSeparator" w:id="0">
    <w:p w14:paraId="72A58232" w14:textId="77777777" w:rsidR="000731E4" w:rsidRDefault="00073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DFDD491-38C5-5848-B130-4FC40E7ED220}"/>
  </w:font>
  <w:font w:name="Roboto">
    <w:panose1 w:val="02000000000000000000"/>
    <w:charset w:val="00"/>
    <w:family w:val="auto"/>
    <w:pitch w:val="variable"/>
    <w:sig w:usb0="E0000AFF" w:usb1="5000217F" w:usb2="00000021" w:usb3="00000000" w:csb0="0000019F" w:csb1="00000000"/>
    <w:embedRegular r:id="rId2" w:fontKey="{9E3E5760-C74A-DA48-9BC8-5311312F889D}"/>
    <w:embedBold r:id="rId3" w:fontKey="{415D9BD0-D160-9B44-AD5F-C1157ADE8D94}"/>
    <w:embedItalic r:id="rId4" w:fontKey="{E33D22C7-503F-D24F-BA59-37D23A4C8682}"/>
  </w:font>
  <w:font w:name="Lato">
    <w:panose1 w:val="020F0502020204030203"/>
    <w:charset w:val="00"/>
    <w:family w:val="swiss"/>
    <w:pitch w:val="variable"/>
    <w:sig w:usb0="E10002FF" w:usb1="5000ECFF" w:usb2="00000021" w:usb3="00000000" w:csb0="0000019F" w:csb1="00000000"/>
    <w:embedRegular r:id="rId5" w:fontKey="{FE31B12D-1882-AD4D-8AC5-18142AE557D5}"/>
    <w:embedBold r:id="rId6" w:fontKey="{5BACA4C4-8B40-BF4F-96E9-157F8261D7A1}"/>
  </w:font>
  <w:font w:name="Arial">
    <w:panose1 w:val="020B0604020202020204"/>
    <w:charset w:val="00"/>
    <w:family w:val="swiss"/>
    <w:pitch w:val="variable"/>
    <w:sig w:usb0="E0002AFF" w:usb1="C0007843" w:usb2="00000009" w:usb3="00000000" w:csb0="000001FF" w:csb1="00000000"/>
    <w:embedRegular r:id="rId7" w:fontKey="{923B436B-E35E-6646-938D-FA137C16EF0F}"/>
    <w:embedBold r:id="rId8" w:fontKey="{881682CF-AD79-724A-B7C4-9F1285E1441A}"/>
  </w:font>
  <w:font w:name="Calibri">
    <w:panose1 w:val="020F0502020204030204"/>
    <w:charset w:val="00"/>
    <w:family w:val="swiss"/>
    <w:pitch w:val="variable"/>
    <w:sig w:usb0="E0002AFF" w:usb1="C000247B" w:usb2="00000009" w:usb3="00000000" w:csb0="000001FF" w:csb1="00000000"/>
    <w:embedRegular r:id="rId9" w:fontKey="{3E95EB97-673A-EA4A-A311-01C338B3D229}"/>
  </w:font>
  <w:font w:name="Cambria">
    <w:panose1 w:val="02040503050406030204"/>
    <w:charset w:val="00"/>
    <w:family w:val="roman"/>
    <w:pitch w:val="variable"/>
    <w:sig w:usb0="E00002FF" w:usb1="400004FF" w:usb2="00000000" w:usb3="00000000" w:csb0="0000019F" w:csb1="00000000"/>
    <w:embedRegular r:id="rId10" w:fontKey="{69B638FC-09D3-844D-B325-03CBFC278B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DE48F" w14:textId="77777777" w:rsidR="000C4D68" w:rsidRDefault="00000000">
    <w:pPr>
      <w:jc w:val="right"/>
    </w:pPr>
    <w:r>
      <w:t xml:space="preserve">Page </w:t>
    </w:r>
    <w:r>
      <w:fldChar w:fldCharType="begin"/>
    </w:r>
    <w:r>
      <w:instrText>PAGE</w:instrText>
    </w:r>
    <w:r>
      <w:fldChar w:fldCharType="separate"/>
    </w:r>
    <w:r w:rsidR="00632A56">
      <w:rPr>
        <w:noProof/>
      </w:rPr>
      <w:t>1</w:t>
    </w:r>
    <w:r>
      <w:fldChar w:fldCharType="end"/>
    </w:r>
    <w:r>
      <w:t xml:space="preserve"> of </w:t>
    </w:r>
    <w:r>
      <w:fldChar w:fldCharType="begin"/>
    </w:r>
    <w:r>
      <w:instrText>NUMPAGES</w:instrText>
    </w:r>
    <w:r>
      <w:fldChar w:fldCharType="separate"/>
    </w:r>
    <w:r w:rsidR="00632A5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87575" w14:textId="77777777" w:rsidR="000731E4" w:rsidRDefault="000731E4">
      <w:pPr>
        <w:spacing w:after="0" w:line="240" w:lineRule="auto"/>
      </w:pPr>
      <w:r>
        <w:separator/>
      </w:r>
    </w:p>
  </w:footnote>
  <w:footnote w:type="continuationSeparator" w:id="0">
    <w:p w14:paraId="48BD8A3B" w14:textId="77777777" w:rsidR="000731E4" w:rsidRDefault="000731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FD10D" w14:textId="77777777" w:rsidR="000C4D68" w:rsidRDefault="00000000">
    <w:pPr>
      <w:spacing w:before="960" w:line="271" w:lineRule="auto"/>
      <w:rPr>
        <w:rFonts w:ascii="Lato" w:eastAsia="Lato" w:hAnsi="Lato" w:cs="Lato"/>
        <w:color w:val="60C100"/>
      </w:rPr>
    </w:pPr>
    <w:r>
      <w:rPr>
        <w:rFonts w:ascii="Lato" w:eastAsia="Lato" w:hAnsi="Lato" w:cs="Lato"/>
        <w:b/>
        <w:color w:val="60C100"/>
        <w:sz w:val="72"/>
        <w:szCs w:val="72"/>
      </w:rPr>
      <w:t>Briefing Note</w:t>
    </w:r>
    <w:r>
      <w:rPr>
        <w:noProof/>
      </w:rPr>
      <w:drawing>
        <wp:anchor distT="114300" distB="114300" distL="114300" distR="114300" simplePos="0" relativeHeight="251658240" behindDoc="0" locked="0" layoutInCell="1" hidden="0" allowOverlap="1" wp14:anchorId="6D098774" wp14:editId="219E645B">
          <wp:simplePos x="0" y="0"/>
          <wp:positionH relativeFrom="column">
            <wp:posOffset>4733925</wp:posOffset>
          </wp:positionH>
          <wp:positionV relativeFrom="paragraph">
            <wp:posOffset>142875</wp:posOffset>
          </wp:positionV>
          <wp:extent cx="1215417" cy="823913"/>
          <wp:effectExtent l="0" t="0" r="0" b="0"/>
          <wp:wrapSquare wrapText="bothSides" distT="114300" distB="114300" distL="114300" distR="114300"/>
          <wp:docPr id="1" name="image1.png" descr="The Capilano Students' Union logo is a stylized tree and three stylized mountains, above the words &quot;Capilano Students' Union,&quot; all green. "/>
          <wp:cNvGraphicFramePr/>
          <a:graphic xmlns:a="http://schemas.openxmlformats.org/drawingml/2006/main">
            <a:graphicData uri="http://schemas.openxmlformats.org/drawingml/2006/picture">
              <pic:pic xmlns:pic="http://schemas.openxmlformats.org/drawingml/2006/picture">
                <pic:nvPicPr>
                  <pic:cNvPr id="0" name="image1.png" descr="The Capilano Students' Union logo is a stylized tree and three stylized mountains, above the words &quot;Capilano Students' Union,&quot; all green. "/>
                  <pic:cNvPicPr preferRelativeResize="0"/>
                </pic:nvPicPr>
                <pic:blipFill>
                  <a:blip r:embed="rId1"/>
                  <a:srcRect/>
                  <a:stretch>
                    <a:fillRect/>
                  </a:stretch>
                </pic:blipFill>
                <pic:spPr>
                  <a:xfrm>
                    <a:off x="0" y="0"/>
                    <a:ext cx="1215417" cy="8239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31941"/>
    <w:multiLevelType w:val="multilevel"/>
    <w:tmpl w:val="FFE809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61FA0216"/>
    <w:multiLevelType w:val="multilevel"/>
    <w:tmpl w:val="66C8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4F5B2F"/>
    <w:multiLevelType w:val="multilevel"/>
    <w:tmpl w:val="E6A01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9620785">
    <w:abstractNumId w:val="0"/>
  </w:num>
  <w:num w:numId="2" w16cid:durableId="1274748135">
    <w:abstractNumId w:val="2"/>
  </w:num>
  <w:num w:numId="3" w16cid:durableId="620579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D68"/>
    <w:rsid w:val="000731E4"/>
    <w:rsid w:val="000C4D68"/>
    <w:rsid w:val="00632A56"/>
    <w:rsid w:val="00B375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9BF5"/>
  <w15:docId w15:val="{8A402B30-B193-C844-B1AC-AB1311229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en" w:eastAsia="en-US" w:bidi="ar-SA"/>
      </w:rPr>
    </w:rPrDefault>
    <w:pPrDefault>
      <w:pPr>
        <w:tabs>
          <w:tab w:val="left" w:pos="1440"/>
        </w:tab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3" w:lineRule="auto"/>
      <w:ind w:left="2160"/>
      <w:outlineLvl w:val="0"/>
    </w:pPr>
    <w:rPr>
      <w:rFonts w:ascii="Lato" w:eastAsia="Lato" w:hAnsi="Lato" w:cs="Lato"/>
      <w:b/>
      <w:color w:val="60C100"/>
      <w:sz w:val="32"/>
      <w:szCs w:val="32"/>
    </w:rPr>
  </w:style>
  <w:style w:type="paragraph" w:styleId="Heading2">
    <w:name w:val="heading 2"/>
    <w:basedOn w:val="Normal"/>
    <w:next w:val="Normal"/>
    <w:uiPriority w:val="9"/>
    <w:semiHidden/>
    <w:unhideWhenUsed/>
    <w:qFormat/>
    <w:pPr>
      <w:keepNext/>
      <w:keepLines/>
      <w:outlineLvl w:val="1"/>
    </w:pPr>
    <w:rPr>
      <w:rFonts w:ascii="Lato" w:eastAsia="Lato" w:hAnsi="Lato" w:cs="Lato"/>
      <w:b/>
      <w:color w:val="666666"/>
      <w:sz w:val="28"/>
      <w:szCs w:val="28"/>
    </w:rPr>
  </w:style>
  <w:style w:type="paragraph" w:styleId="Heading3">
    <w:name w:val="heading 3"/>
    <w:basedOn w:val="Normal"/>
    <w:next w:val="Normal"/>
    <w:uiPriority w:val="9"/>
    <w:semiHidden/>
    <w:unhideWhenUsed/>
    <w:qFormat/>
    <w:pPr>
      <w:keepNext/>
      <w:keepLines/>
      <w:tabs>
        <w:tab w:val="left" w:pos="2160"/>
      </w:tabs>
      <w:outlineLvl w:val="2"/>
    </w:pPr>
    <w:rPr>
      <w:b/>
      <w:color w:val="666666"/>
    </w:rPr>
  </w:style>
  <w:style w:type="paragraph" w:styleId="Heading4">
    <w:name w:val="heading 4"/>
    <w:basedOn w:val="Normal"/>
    <w:next w:val="Normal"/>
    <w:uiPriority w:val="9"/>
    <w:semiHidden/>
    <w:unhideWhenUsed/>
    <w:qFormat/>
    <w:pPr>
      <w:keepNext/>
      <w:keepLines/>
      <w:outlineLvl w:val="3"/>
    </w:pPr>
    <w:rPr>
      <w:b/>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597</Words>
  <Characters>3406</Characters>
  <Application>Microsoft Office Word</Application>
  <DocSecurity>0</DocSecurity>
  <Lines>28</Lines>
  <Paragraphs>7</Paragraphs>
  <ScaleCrop>false</ScaleCrop>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Jaismine Kaur</cp:lastModifiedBy>
  <cp:revision>2</cp:revision>
  <dcterms:created xsi:type="dcterms:W3CDTF">2025-08-26T07:55:00Z</dcterms:created>
  <dcterms:modified xsi:type="dcterms:W3CDTF">2025-08-26T07:56:00Z</dcterms:modified>
</cp:coreProperties>
</file>