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Invention Disclosure Form (IDF)-B – A Guide to Describing Your Innovation</w:t>
      </w:r>
    </w:p>
    <w:p>
      <w:r>
        <w:rPr>
          <w:b/>
          <w:sz w:val="22"/>
        </w:rPr>
        <w:t>1. Title of the invention:</w:t>
      </w:r>
    </w:p>
    <w:p>
      <w:pPr>
        <w:spacing w:after="80"/>
      </w:pPr>
      <w:r>
        <w:rPr>
          <w:i w:val="0"/>
        </w:rPr>
        <w:t>Deadline-constrained scheduling of multimodal video-understanding workloads by jointly selecting a hardware class and a model-fidelity configuration, using a per-class execution-cost model learned online as an affine function of input length.</w:t>
      </w:r>
    </w:p>
    <w:p>
      <w:pPr>
        <w:spacing w:after="80"/>
      </w:pPr>
      <w:r>
        <w:rPr>
          <w:i w:val="0"/>
        </w:rPr>
        <w:t>Short title: Cost-aware, SLA-constrained scheduler with online affine cost learning for heterogeneous inference fleets.</w:t>
      </w:r>
    </w:p>
    <w:p>
      <w:r>
        <w:rPr>
          <w:b/>
          <w:sz w:val="22"/>
        </w:rPr>
        <w:t>2. Field / Area of invention:</w:t>
      </w:r>
    </w:p>
    <w:p>
      <w:pPr>
        <w:spacing w:after="80"/>
      </w:pPr>
      <w:r>
        <w:rPr>
          <w:i w:val="0"/>
        </w:rPr>
        <w:t>Distributed computing and resource allocation; scheduling of machine-learning inference workloads across heterogeneous hardware; adaptive quality-of-service systems. Reduced to practice in an automated video-understanding pipeline combining automatic speech recognition, computer vision and large-language-model summarisation.</w:t>
      </w:r>
    </w:p>
    <w:p>
      <w:r>
        <w:rPr>
          <w:b/>
          <w:sz w:val="22"/>
        </w:rPr>
        <w:t>3. Prior Patents and Publications (Table summarizing prior art):</w:t>
      </w:r>
    </w:p>
    <w:p>
      <w:pPr>
        <w:spacing w:after="80"/>
      </w:pPr>
      <w:r>
        <w:rPr>
          <w:i/>
        </w:rPr>
        <w:t>No patent numbers are cited below, because none have been independently verified by the inventors. A formal prior-art search (Indian and international) has not been carried out and must be completed through the VIT IPR Cell before filing. The entries are the academic work actually relied upon during development, and the search categories the inventors believe the examiner should cover.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Patent / Publication</w:t>
            </w:r>
          </w:p>
        </w:tc>
        <w:tc>
          <w:tcPr>
            <w:tcW w:type="dxa" w:w="2880"/>
          </w:tcPr>
          <w:p>
            <w:r>
              <w:rPr>
                <w:b/>
              </w:rPr>
              <w:t>Description</w:t>
            </w:r>
          </w:p>
        </w:tc>
        <w:tc>
          <w:tcPr>
            <w:tcW w:type="dxa" w:w="2880"/>
          </w:tcPr>
          <w:p>
            <w:r>
              <w:rPr>
                <w:b/>
              </w:rPr>
              <w:t>Relevance to your invention</w:t>
            </w:r>
          </w:p>
        </w:tc>
      </w:tr>
      <w:tr>
        <w:tc>
          <w:tcPr>
            <w:tcW w:type="dxa" w:w="2880"/>
          </w:tcPr>
          <w:p>
            <w:r>
              <w:t>Apostolidis et al., Proceedings of the IEEE, 109(11), 2021</w:t>
            </w:r>
          </w:p>
        </w:tc>
        <w:tc>
          <w:tcPr>
            <w:tcW w:type="dxa" w:w="2880"/>
          </w:tcPr>
          <w:p>
            <w:r>
              <w:t>Survey of deep-learning video summarisation.</w:t>
            </w:r>
          </w:p>
        </w:tc>
        <w:tc>
          <w:tcPr>
            <w:tcW w:type="dxa" w:w="2880"/>
          </w:tcPr>
          <w:p>
            <w:r>
              <w:t>Establishes the state of the art in selecting salient video content. Concerned with what to select, not with the wall-clock cost of producing it on given hardware.</w:t>
            </w:r>
          </w:p>
        </w:tc>
      </w:tr>
      <w:tr>
        <w:tc>
          <w:tcPr>
            <w:tcW w:type="dxa" w:w="2880"/>
          </w:tcPr>
          <w:p>
            <w:r>
              <w:t>Otani et al., CVPR 2019</w:t>
            </w:r>
          </w:p>
        </w:tc>
        <w:tc>
          <w:tcPr>
            <w:tcW w:type="dxa" w:w="2880"/>
          </w:tcPr>
          <w:p>
            <w:r>
              <w:t>Re-evaluation of video-summarisation metrics; proposes rank correlation against each annotator.</w:t>
            </w:r>
          </w:p>
        </w:tc>
        <w:tc>
          <w:tcPr>
            <w:tcW w:type="dxa" w:w="2880"/>
          </w:tcPr>
          <w:p>
            <w:r>
              <w:t>The evaluation protocol adopted for the scene-importance component reported in item 8.</w:t>
            </w:r>
          </w:p>
        </w:tc>
      </w:tr>
      <w:tr>
        <w:tc>
          <w:tcPr>
            <w:tcW w:type="dxa" w:w="2880"/>
          </w:tcPr>
          <w:p>
            <w:r>
              <w:t>Potapov et al., ECCV 2014</w:t>
            </w:r>
          </w:p>
        </w:tc>
        <w:tc>
          <w:tcPr>
            <w:tcW w:type="dxa" w:w="2880"/>
          </w:tcPr>
          <w:p>
            <w:r>
              <w:t>Kernel Temporal Segmentation (KTS) for shot boundaries.</w:t>
            </w:r>
          </w:p>
        </w:tc>
        <w:tc>
          <w:tcPr>
            <w:tcW w:type="dxa" w:w="2880"/>
          </w:tcPr>
          <w:p>
            <w:r>
              <w:t>Used unmodified as a segmentation primitive. Not claimed.</w:t>
            </w:r>
          </w:p>
        </w:tc>
      </w:tr>
      <w:tr>
        <w:tc>
          <w:tcPr>
            <w:tcW w:type="dxa" w:w="2880"/>
          </w:tcPr>
          <w:p>
            <w:r>
              <w:t>Radford et al., 2022 (Whisper); Redmon et al., 2016 (YOLO); Radford et al., 2021 (CLIP)</w:t>
            </w:r>
          </w:p>
        </w:tc>
        <w:tc>
          <w:tcPr>
            <w:tcW w:type="dxa" w:w="2880"/>
          </w:tcPr>
          <w:p>
            <w:r>
              <w:t>Speech recognition, object detection and image-text embedding models.</w:t>
            </w:r>
          </w:p>
        </w:tc>
        <w:tc>
          <w:tcPr>
            <w:tcW w:type="dxa" w:w="2880"/>
          </w:tcPr>
          <w:p>
            <w:r>
              <w:t>Used as interchangeable components. The invention selects among such models under a time budget; it does not claim the models.</w:t>
            </w:r>
          </w:p>
        </w:tc>
      </w:tr>
      <w:tr>
        <w:tc>
          <w:tcPr>
            <w:tcW w:type="dxa" w:w="2880"/>
          </w:tcPr>
          <w:p>
            <w:r>
              <w:t>Prior-art categories requiring search by the IPR Cell</w:t>
            </w:r>
          </w:p>
        </w:tc>
        <w:tc>
          <w:tcPr>
            <w:tcW w:type="dxa" w:w="2880"/>
          </w:tcPr>
          <w:p>
            <w:r>
              <w:t>(a) SLA-aware or deadline-aware job scheduling in cloud and cluster systems; (b) online regression of job runtime from input features; (c) accuracy-versus-latency model selection, including anytime inference and model cascades; (d) serverless cold-start and execution-time prediction.</w:t>
            </w:r>
          </w:p>
        </w:tc>
        <w:tc>
          <w:tcPr>
            <w:tcW w:type="dxa" w:w="2880"/>
          </w:tcPr>
          <w:p>
            <w:r>
              <w:t>These are the fields in which the closest art is expected. The inventors' position is that the combination in item 9 — an affine per-class cost model fitted online from media duration, driving joint hardware-class and model-fidelity selection against a wall-clock deadline — is what must be searched, not scheduling in general.</w:t>
            </w:r>
          </w:p>
        </w:tc>
      </w:tr>
    </w:tbl>
    <w:p>
      <w:r>
        <w:rPr>
          <w:b/>
          <w:sz w:val="22"/>
        </w:rPr>
        <w:t>4. Summary and background of the invention (Address the gap/Novelty):</w:t>
      </w:r>
    </w:p>
    <w:p>
      <w:pPr>
        <w:spacing w:after="80"/>
      </w:pPr>
      <w:r>
        <w:rPr>
          <w:i w:val="0"/>
        </w:rPr>
        <w:t>Problem. Understanding a long recorded video automatically requires several expensive stages — speech recognition, scene analysis, and summarisation by a large language model. On a fixed machine the total time grows with the length of the video, so a system that is responsive on a ten-minute clip becomes unusable on a ten-hour lecture. Where several machines of differing capability are available, the question of which machine should run a given job, and at what model fidelity, determines whether the job finishes within an acceptable time at all.</w:t>
      </w:r>
    </w:p>
    <w:p>
      <w:pPr>
        <w:spacing w:after="80"/>
      </w:pPr>
      <w:r>
        <w:rPr>
          <w:i w:val="0"/>
        </w:rPr>
        <w:t>Existing solutions and their limitations. Cluster schedulers route work by queue length, resource request or fair share, and treat execution time as an attribute of the job supplied by the user. Where runtime is predicted, it is commonly modelled as a constant rate per unit of input — so many seconds per minute of media. That assumption fails in this workload because a run pays a substantial fixed cost before it processes anything: loading models into memory, starting worker processes, and one round trip to a remote language model. Dividing a measured total by the input length folds that fixed cost into the rate, and the resulting rate depends on how long the observed videos happened to be.</w:t>
      </w:r>
    </w:p>
    <w:p>
      <w:pPr>
        <w:spacing w:after="80"/>
      </w:pPr>
      <w:r>
        <w:rPr>
          <w:i w:val="0"/>
        </w:rPr>
        <w:t>Gap and novelty. The invention models the execution cost of each hardware class as an affine function of input length, total = fixed + rate × minutes, fitted online by ordinary least squares and updated in constant time per completed job. It then selects jointly — in one decision — both the hardware class and the fidelity of the models to run, choosing the least costly combination predicted to meet a wall-clock deadline. A second mechanism keeps the prediction honest on the machine it is running on, by feeding each stage's measured cost back into the planner with a deliberately asymmetric update in which evidence of slowness is believed faster than evidence of speed. The effect of the two together is measured in item 8.</w:t>
      </w:r>
    </w:p>
    <w:p>
      <w:r>
        <w:rPr>
          <w:b/>
          <w:sz w:val="22"/>
        </w:rPr>
        <w:t>5. Objective(s) of Invention:</w:t>
      </w:r>
    </w:p>
    <w:p>
      <w:pPr>
        <w:spacing w:after="80"/>
      </w:pPr>
      <w:r>
        <w:rPr>
          <w:i w:val="0"/>
        </w:rPr>
        <w:t>1. To complete an automated video-understanding job within a stated wall-clock deadline on hardware that is heterogeneous, shared and not known in advance.</w:t>
      </w:r>
    </w:p>
    <w:p>
      <w:pPr>
        <w:spacing w:after="80"/>
      </w:pPr>
      <w:r>
        <w:rPr>
          <w:i w:val="0"/>
        </w:rPr>
        <w:t>2. To predict the execution cost of a job on each available hardware class accurately enough for that choice to be made before the job starts, and from observations of jobs whose input lengths differ widely.</w:t>
      </w:r>
    </w:p>
    <w:p>
      <w:pPr>
        <w:spacing w:after="80"/>
      </w:pPr>
      <w:r>
        <w:rPr>
          <w:i w:val="0"/>
        </w:rPr>
        <w:t>3. To spend the least costly resource that still meets the deadline, rather than the fastest resource available.</w:t>
      </w:r>
    </w:p>
    <w:p>
      <w:pPr>
        <w:spacing w:after="80"/>
      </w:pPr>
      <w:r>
        <w:rPr>
          <w:i w:val="0"/>
        </w:rPr>
        <w:t>4. To require no manual calibration when the system is moved to different hardware, by learning the machine's behaviour from its own completed work.</w:t>
      </w:r>
    </w:p>
    <w:p>
      <w:pPr>
        <w:spacing w:after="80"/>
      </w:pPr>
      <w:r>
        <w:rPr>
          <w:i w:val="0"/>
        </w:rPr>
        <w:t>5. To degrade predictably rather than fail when the deadline cannot be met by any configuration, by reporting the shortfall in advance.</w:t>
      </w:r>
    </w:p>
    <w:p>
      <w:r>
        <w:rPr>
          <w:b/>
          <w:sz w:val="22"/>
        </w:rPr>
        <w:t>6. Working principle of the invention (in brief):</w:t>
      </w:r>
    </w:p>
    <w:p>
      <w:pPr>
        <w:spacing w:after="80"/>
      </w:pPr>
      <w:r>
        <w:rPr>
          <w:i w:val="0"/>
        </w:rPr>
        <w:t>When a job arrives, the system reads the length of the input media from its metadata, without downloading it. For every hardware class in the fleet it predicts the total execution time from that class's learned affine cost model, and multiplies the prediction by the class's hourly rate to obtain a cost. Classes whose prediction exceeds the deadline are set aside. Among those that remain, the cheapest is chosen; a class with no measurements yet is sampled in preference to re-using one already characterised, so the fleet learns about itself. If no class meets the deadline, the fastest is chosen and the expected overrun is reported rather than concealed.</w:t>
      </w:r>
    </w:p>
    <w:p>
      <w:pPr>
        <w:spacing w:after="80"/>
      </w:pPr>
      <w:r>
        <w:rPr>
          <w:i w:val="0"/>
        </w:rPr>
        <w:t>On the chosen machine, a second decision selects how heavy the models may be — the speech-recognition checkpoint and its beam width, the degree of parallel transcription, the number of keyframes analysed, the summarisation model — so that the predicted total fits the remaining budget. When the job completes, each stage's measured cost is written back: the five running sums of that class's cost model are updated, and the planner's per-stage estimates are adjusted.</w:t>
      </w:r>
    </w:p>
    <w:p>
      <w:r>
        <w:rPr>
          <w:b/>
          <w:sz w:val="22"/>
        </w:rPr>
        <w:t>7. Description of the invention in detail (Include drawings and/or photographs as needed):</w:t>
      </w:r>
    </w:p>
    <w:p>
      <w:pPr>
        <w:spacing w:after="80"/>
      </w:pPr>
      <w:r>
        <w:rPr>
          <w:i/>
        </w:rPr>
        <w:t>7.1 The learned cost model.</w:t>
      </w:r>
    </w:p>
    <w:p>
      <w:pPr>
        <w:spacing w:after="80"/>
      </w:pPr>
      <w:r>
        <w:rPr>
          <w:i w:val="0"/>
        </w:rPr>
        <w:t>Each hardware class carries five numbers: the count of observations and the running sums Σx, Σy, Σxx and Σxy, where x is the input length in minutes and y is the measured total execution time in seconds. The affine fit is recovered from these by ordinary least squares, so a completed job updates the model in constant time and no history need be retained. Two guards decide whether the fit may be used: at least four observations, and a spread in observed lengths of at least two to one. A straight line through points of nearly equal length has a slope determined by noise, and the system falls back to a seeded estimate rather than trusting it.</w:t>
      </w:r>
    </w:p>
    <w:p>
      <w:pPr>
        <w:spacing w:after="80"/>
      </w:pPr>
      <w:r>
        <w:rPr>
          <w:i/>
        </w:rPr>
        <w:t>7.2 Routing.</w:t>
      </w:r>
    </w:p>
    <w:p>
      <w:pPr>
        <w:spacing w:after="80"/>
      </w:pPr>
      <w:r>
        <w:rPr>
          <w:i w:val="0"/>
        </w:rPr>
        <w:t>A routing decision records, for each class, the predicted time, whether it meets the deadline, the resulting cost, and whether the prediction came from measurement or from a seed. The class finally chosen, its prediction, the deadline and the eventual measured time are all persisted, which is what makes the comparison in item 8 possible.</w:t>
      </w:r>
    </w:p>
    <w:p>
      <w:pPr>
        <w:spacing w:after="80"/>
      </w:pPr>
      <w:r>
        <w:rPr>
          <w:i/>
        </w:rPr>
        <w:t>7.3 The self-calibrating planner.</w:t>
      </w:r>
    </w:p>
    <w:p>
      <w:pPr>
        <w:spacing w:after="80"/>
      </w:pPr>
      <w:r>
        <w:rPr>
          <w:i w:val="0"/>
        </w:rPr>
        <w:t>The planner holds a per-stage estimate of cost per minute of media for the machine it runs on, seeded from a hardware probe and corrected by every completed run. The correction is asymmetric: an observation slower than the current estimate moves it quickly, an observation faster moves it slowly. A symmetric update leaves the estimate systematically optimistic, because the fast observations are the ones that occur when the machine is otherwise idle, and an optimistic budget produces overruns.</w:t>
      </w:r>
    </w:p>
    <w:p>
      <w:pPr>
        <w:spacing w:after="80"/>
      </w:pPr>
      <w:r>
        <w:rPr>
          <w:i/>
        </w:rPr>
        <w:t>7.4 Secondary embodiment — metered external model services.</w:t>
      </w:r>
    </w:p>
    <w:p>
      <w:pPr>
        <w:spacing w:after="80"/>
      </w:pPr>
      <w:r>
        <w:rPr>
          <w:i w:val="0"/>
        </w:rPr>
        <w:t>Where a stage is served by a metered external language model rather than by local computation, the same deadline discipline is applied to a different scarce resource: the number of requests permitted per period. A long video is divided into windows whose count is capped by the request budget rather than by the content, so the cost of one job is bounded. The system distinguishes a per-period exhaustion of quota, which will not clear within the run, from a momentary rate limit, which will; it preserves work already completed when quota is exhausted part-way; and it continues to a further configured account rather than failing. The technical effect is the completion of jobs that would otherwise abort, and the elimination of waiting on a limit that cannot clear.</w:t>
      </w:r>
    </w:p>
    <w:p>
      <w:pPr>
        <w:spacing w:after="80"/>
      </w:pPr>
      <w:r>
        <w:rPr>
          <w:i/>
        </w:rPr>
        <w:t>Drawings to be supplied with the filing:</w:t>
      </w:r>
    </w:p>
    <w:p>
      <w:pPr>
        <w:pStyle w:val="ListBullet"/>
        <w:spacing w:after="40"/>
      </w:pPr>
      <w:r>
        <w:t>Figure 1 — System architecture: job intake, the allowance check, the routing decision, the worker fleet, the pipeline stages, and the feedback path from completed jobs into the per-class cost models. Supplied as ip/figure1-architecture.png.</w:t>
      </w:r>
    </w:p>
    <w:p>
      <w:pPr>
        <w:pStyle w:val="ListBullet"/>
        <w:spacing w:after="40"/>
      </w:pPr>
      <w:r>
        <w:t>Figure 2 — Measured execution time against input length, per hardware class, with the fitted affine model and, for contrast, a constant-rate model fitted only on short inputs. Supplied as ip/figure2-cost-model.png and regenerated from the recorded observations by ip/make_figure2.py; Figures 1 and 3 by ip/make_figures.py.</w:t>
      </w:r>
    </w:p>
    <w:p>
      <w:pPr>
        <w:pStyle w:val="ListBullet"/>
        <w:spacing w:after="40"/>
      </w:pPr>
      <w:r>
        <w:t>Figure 3 — Flowchart of the routing decision as implemented: the three sources a prediction may come from, the two exploration branches, the cheapest-that-meets-it rule and the deadline-miss path. Supplied as ip/figure3-routing.png.</w:t>
      </w:r>
    </w:p>
    <w:p>
      <w:r>
        <w:rPr>
          <w:b/>
          <w:sz w:val="22"/>
        </w:rPr>
        <w:t>8. Experimental validation results:</w:t>
      </w:r>
    </w:p>
    <w:p>
      <w:pPr>
        <w:spacing w:after="80"/>
      </w:pPr>
      <w:r>
        <w:rPr>
          <w:i/>
        </w:rPr>
        <w:t>All figures below are read from the system's own recorded state at the time of writing and are reproducible from the repository.</w:t>
      </w:r>
    </w:p>
    <w:p>
      <w:pPr>
        <w:spacing w:after="80"/>
      </w:pPr>
      <w:r>
        <w:rPr>
          <w:i/>
        </w:rPr>
        <w:t>8.1 Deadline attainment.</w:t>
      </w:r>
    </w:p>
    <w:p>
      <w:pPr>
        <w:spacing w:after="80"/>
      </w:pPr>
      <w:r>
        <w:rPr>
          <w:i w:val="0"/>
        </w:rPr>
        <w:t>Thirty-one jobs are recorded, each storing its prediction, its deadline, its measured time and the time a fixed baseline configuration would have taken. Six of those resumed from cached work and are excluded throughout, because a run that did only part of the work says nothing about throughput; the exclusion is stated here rather than left silent. Over the remaining 25 full runs the adaptive scheduler met its deadline on 68.0% of jobs against 8.0% for the fixed baseline configuration on identical hardware. Single-class routing policies recorded over the same jobs met the deadline on 60.0% (always the fastest class), 53.3% (middle class) and 10.0% (slowest class), showing that the gain comes from the choice of class and not merely from a fast machine being available.</w:t>
      </w:r>
    </w:p>
    <w:p>
      <w:pPr>
        <w:spacing w:after="80"/>
      </w:pPr>
      <w:r>
        <w:rPr>
          <w:i/>
        </w:rPr>
        <w:t>8.2 Accuracy of the cost model.</w:t>
      </w:r>
    </w:p>
    <w:p>
      <w:pPr>
        <w:spacing w:after="80"/>
      </w:pPr>
      <w:r>
        <w:rPr>
          <w:i w:val="0"/>
        </w:rPr>
        <w:t>Figure 2 plots every full run against input length, per hardware class. On the class with the most observations — 16 runs, over inputs from 1.6 to 10.8 minutes — a constant-rate model fitted only on the videos of five minutes or less yields 25.5 seconds per video-minute. The affine model fitted over all 16 yields total = 48 s + 9.3 s × minutes. At 10.8 minutes, the longest input this class actually ran, the measured time was 141 seconds: the affine model predicts 148 seconds, an error of 5%, and the constant-rate model predicts 275 seconds, an error of 95%. The divergence is therefore demonstrated within the range of measured data and does not rest on extrapolation.</w:t>
      </w:r>
    </w:p>
    <w:p>
      <w:pPr>
        <w:spacing w:after="80"/>
      </w:pPr>
      <w:r>
        <w:rPr>
          <w:i w:val="0"/>
        </w:rPr>
        <w:t>The cause is visible in the fitted intercept of 48 seconds, which is the cost a run pays before it processes anything. Dividing a measured total by input length folds that cost into the rate, so a rate inferred from short videos carries it, and the resulting error grows with the length of the video being predicted.</w:t>
      </w:r>
    </w:p>
    <w:p>
      <w:pPr>
        <w:spacing w:after="80"/>
      </w:pPr>
      <w:r>
        <w:rPr>
          <w:i/>
        </w:rPr>
        <w:t>8.3 End-to-end throughput.</w:t>
      </w:r>
    </w:p>
    <w:p>
      <w:pPr>
        <w:spacing w:after="80"/>
      </w:pPr>
      <w:r>
        <w:rPr>
          <w:i w:val="0"/>
        </w:rPr>
        <w:t>A full run with no reuse of cached work, measured through the deployed service: an 11.4-minute lecture completed in 159.2 seconds, that is 4.3 times faster than watching it, against a 300-second deadline which was met. Stage costs were ingest 16.7 s, combined transcription and visual analysis 69.8 s, alignment 0.1 s, summarisation 43.5 s, indexing 2.9 s. A 10-hour course processed in 2 hours 10 minutes, 4.6 times faster than watching, demonstrating that the ratio holds across two orders of magnitude of input length.</w:t>
      </w:r>
    </w:p>
    <w:p>
      <w:pPr>
        <w:spacing w:after="80"/>
      </w:pPr>
      <w:r>
        <w:rPr>
          <w:i/>
        </w:rPr>
        <w:t>8.4 Component validation — scene-importance model.</w:t>
      </w:r>
    </w:p>
    <w:p>
      <w:pPr>
        <w:spacing w:after="80"/>
      </w:pPr>
      <w:r>
        <w:rPr>
          <w:i w:val="0"/>
        </w:rPr>
        <w:t>The learned scene-importance component, which orders the visual material passed to the summarisation stage, was evaluated by five-fold cross-validation on the SumMe and TVSum datasets using the rank-correlation protocol of Otani et al. (2019). Mean Kendall τ = 0.160 ± 0.016; summary F1 = 0.323 ± 0.034. Measured against baselines computed inside the same pipeline: on TVSum the model attains F1 0.265 where random scoring attains 0.166 and human inter-annotator agreement attains 0.260, and its per-annotator τ of 0.216 exceeds the approximately 0.18 that annotators achieve against one another; on SumMe the model attains 0.451 against 0.368 for random and 0.612 for human. Absolute F1 is not comparable across summarisation pipelines, which is why the baselines were computed within this one.</w:t>
      </w:r>
    </w:p>
    <w:p>
      <w:pPr>
        <w:spacing w:after="80"/>
      </w:pPr>
      <w:r>
        <w:rPr>
          <w:i/>
        </w:rPr>
        <w:t>8.5 Software verification.</w:t>
      </w:r>
    </w:p>
    <w:p>
      <w:pPr>
        <w:spacing w:after="80"/>
      </w:pPr>
      <w:r>
        <w:rPr>
          <w:i w:val="0"/>
        </w:rPr>
        <w:t>The implementation is covered by 188 automated tests, which pass in full. These include regression tests for each failure mode described in item 7.4 and for the credibility guards on the cost fit described in item 7.1.</w:t>
      </w:r>
    </w:p>
    <w:p>
      <w:r>
        <w:rPr>
          <w:b/>
          <w:sz w:val="22"/>
        </w:rPr>
        <w:t>9. What aspect(s) of the invention need(s) protection?</w:t>
      </w:r>
    </w:p>
    <w:p>
      <w:pPr>
        <w:spacing w:after="80"/>
      </w:pPr>
      <w:r>
        <w:rPr>
          <w:i/>
        </w:rPr>
        <w:t>The inventors are advised that under Section 3(k) of the Patents Act, 1970 a computer programme per se, an algorithm or a mathematical method is not patentable, and that protection is therefore sought for the technical effect on resource utilisation of a computing system, not for the computation itself. The aspects below are stated in that form and in order of importance.</w:t>
      </w:r>
    </w:p>
    <w:p>
      <w:pPr>
        <w:spacing w:after="80"/>
      </w:pPr>
      <w:r>
        <w:rPr>
          <w:i/>
        </w:rPr>
        <w:t>Principal aspect.</w:t>
      </w:r>
    </w:p>
    <w:p>
      <w:pPr>
        <w:spacing w:after="80"/>
      </w:pPr>
      <w:r>
        <w:rPr>
          <w:i w:val="0"/>
        </w:rPr>
        <w:t>A method of scheduling media-processing jobs across a plurality of hardware classes in which, for each class, the execution cost is maintained as an affine function of input media duration, fitted online by least squares from running sums updated in constant time per completed job; and in which a hardware class and a model-fidelity configuration are selected jointly, before the job begins, as the least costly combination whose predicted execution time satisfies a wall-clock deadline.</w:t>
      </w:r>
    </w:p>
    <w:p>
      <w:pPr>
        <w:spacing w:after="80"/>
      </w:pPr>
      <w:r>
        <w:rPr>
          <w:i/>
        </w:rPr>
        <w:t>Dependent aspects.</w:t>
      </w:r>
    </w:p>
    <w:p>
      <w:pPr>
        <w:pStyle w:val="ListBullet"/>
        <w:spacing w:after="40"/>
      </w:pPr>
      <w:r>
        <w:t>The credibility conditions under which the fitted model is used rather than a seeded estimate — a minimum observation count and a minimum spread of observed input lengths — and the fallback behaviour when they are not satisfied.</w:t>
      </w:r>
    </w:p>
    <w:p>
      <w:pPr>
        <w:pStyle w:val="ListBullet"/>
        <w:spacing w:after="40"/>
      </w:pPr>
      <w:r>
        <w:t>The preference for sampling a hardware class with no measurements over re-using a characterised one, so that the fleet becomes self-describing without a calibration run.</w:t>
      </w:r>
    </w:p>
    <w:p>
      <w:pPr>
        <w:pStyle w:val="ListBullet"/>
        <w:spacing w:after="40"/>
      </w:pPr>
      <w:r>
        <w:t>The asymmetric updating of the per-stage cost estimates, in which evidence of slower execution is incorporated more rapidly than evidence of faster execution, and its effect of preventing systematic optimism in the budget.</w:t>
      </w:r>
    </w:p>
    <w:p>
      <w:pPr>
        <w:pStyle w:val="ListBullet"/>
        <w:spacing w:after="40"/>
      </w:pPr>
      <w:r>
        <w:t>The reporting of an expected deadline overrun in advance where no configuration satisfies the deadline, in place of accepting the job and failing to meet it.</w:t>
      </w:r>
    </w:p>
    <w:p>
      <w:pPr>
        <w:spacing w:after="80"/>
      </w:pPr>
      <w:r>
        <w:rPr>
          <w:i/>
        </w:rPr>
        <w:t>Secondary aspect (may be filed as a separate embodiment).</w:t>
      </w:r>
    </w:p>
    <w:p>
      <w:pPr>
        <w:pStyle w:val="ListBullet"/>
        <w:spacing w:after="40"/>
      </w:pPr>
      <w:r>
        <w:t>The application of the same deadline discipline to a metered external inference service, comprising: bounding the number of requests a single job may consume by dividing the input into a capped number of windows; distinguishing per-period quota exhaustion from a momentary rate limit and ceasing to wait on the former; preserving the work completed before exhaustion; and continuing on a further configured account rather than terminating the job.</w:t>
      </w:r>
    </w:p>
    <w:p>
      <w:pPr>
        <w:spacing w:after="80"/>
      </w:pPr>
      <w:r>
        <w:rPr>
          <w:i/>
        </w:rPr>
        <w:t>Not claimed.</w:t>
      </w:r>
    </w:p>
    <w:p>
      <w:pPr>
        <w:spacing w:after="80"/>
      </w:pPr>
      <w:r>
        <w:rPr>
          <w:i w:val="0"/>
        </w:rPr>
        <w:t>The speech-recognition, object-detection, image-embedding and language models are used as interchangeable components and are not claimed. The segmentation primitive is prior art and is not claimed. The user interface is the subject of a separate design registration disclosure.</w:t>
      </w:r>
    </w:p>
    <w:p>
      <w:r>
        <w:rPr>
          <w:b/>
          <w:sz w:val="22"/>
        </w:rPr>
        <w:t>10. What is Technology readiness level of your invention? (Tick the appropriate TRL)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Research</w:t>
            </w:r>
          </w:p>
        </w:tc>
        <w:tc>
          <w:tcPr>
            <w:tcW w:type="dxa" w:w="960"/>
          </w:tcPr>
          <w:p>
            <w:r/>
          </w:p>
        </w:tc>
        <w:tc>
          <w:tcPr>
            <w:tcW w:type="dxa" w:w="960"/>
          </w:tcPr>
          <w:p>
            <w:r/>
          </w:p>
        </w:tc>
        <w:tc>
          <w:tcPr>
            <w:tcW w:type="dxa" w:w="960"/>
          </w:tcPr>
          <w:p>
            <w:r>
              <w:rPr>
                <w:b/>
              </w:rPr>
              <w:t>Development</w:t>
            </w:r>
          </w:p>
        </w:tc>
        <w:tc>
          <w:tcPr>
            <w:tcW w:type="dxa" w:w="960"/>
          </w:tcPr>
          <w:p>
            <w:r/>
          </w:p>
        </w:tc>
        <w:tc>
          <w:tcPr>
            <w:tcW w:type="dxa" w:w="960"/>
          </w:tcPr>
          <w:p>
            <w:r/>
          </w:p>
        </w:tc>
        <w:tc>
          <w:tcPr>
            <w:tcW w:type="dxa" w:w="960"/>
          </w:tcPr>
          <w:p>
            <w:r>
              <w:rPr>
                <w:b/>
              </w:rPr>
              <w:t>Deployment</w:t>
            </w:r>
          </w:p>
        </w:tc>
        <w:tc>
          <w:tcPr>
            <w:tcW w:type="dxa" w:w="960"/>
          </w:tcPr>
          <w:p>
            <w:r/>
          </w:p>
        </w:tc>
        <w:tc>
          <w:tcPr>
            <w:tcW w:type="dxa" w:w="960"/>
          </w:tcPr>
          <w:p>
            <w:r/>
          </w:p>
        </w:tc>
      </w:tr>
      <w:tr>
        <w:tc>
          <w:tcPr>
            <w:tcW w:type="dxa" w:w="960"/>
          </w:tcPr>
          <w:p>
            <w:r>
              <w:rPr>
                <w:b/>
              </w:rPr>
              <w:t>TRL 1</w:t>
            </w:r>
          </w:p>
        </w:tc>
        <w:tc>
          <w:tcPr>
            <w:tcW w:type="dxa" w:w="960"/>
          </w:tcPr>
          <w:p>
            <w:r>
              <w:rPr>
                <w:b/>
              </w:rPr>
              <w:t>TRL 2</w:t>
            </w:r>
          </w:p>
        </w:tc>
        <w:tc>
          <w:tcPr>
            <w:tcW w:type="dxa" w:w="960"/>
          </w:tcPr>
          <w:p>
            <w:r>
              <w:rPr>
                <w:b/>
              </w:rPr>
              <w:t>TRL 3</w:t>
            </w:r>
          </w:p>
        </w:tc>
        <w:tc>
          <w:tcPr>
            <w:tcW w:type="dxa" w:w="960"/>
          </w:tcPr>
          <w:p>
            <w:r>
              <w:rPr>
                <w:b/>
              </w:rPr>
              <w:t>TRL 4</w:t>
            </w:r>
          </w:p>
        </w:tc>
        <w:tc>
          <w:tcPr>
            <w:tcW w:type="dxa" w:w="960"/>
          </w:tcPr>
          <w:p>
            <w:r>
              <w:rPr>
                <w:b/>
              </w:rPr>
              <w:t>TRL 5</w:t>
            </w:r>
          </w:p>
        </w:tc>
        <w:tc>
          <w:tcPr>
            <w:tcW w:type="dxa" w:w="960"/>
          </w:tcPr>
          <w:p>
            <w:r>
              <w:rPr>
                <w:b/>
              </w:rPr>
              <w:t>TRL 6</w:t>
            </w:r>
          </w:p>
        </w:tc>
        <w:tc>
          <w:tcPr>
            <w:tcW w:type="dxa" w:w="960"/>
          </w:tcPr>
          <w:p>
            <w:r>
              <w:rPr>
                <w:b/>
              </w:rPr>
              <w:t>TRL 7</w:t>
            </w:r>
          </w:p>
        </w:tc>
        <w:tc>
          <w:tcPr>
            <w:tcW w:type="dxa" w:w="960"/>
          </w:tcPr>
          <w:p>
            <w:r>
              <w:rPr>
                <w:b/>
              </w:rPr>
              <w:t>TRL 8</w:t>
            </w:r>
          </w:p>
        </w:tc>
        <w:tc>
          <w:tcPr>
            <w:tcW w:type="dxa" w:w="960"/>
          </w:tcPr>
          <w:p>
            <w:r>
              <w:rPr>
                <w:b/>
              </w:rPr>
              <w:t>TRL 9</w:t>
            </w:r>
          </w:p>
        </w:tc>
      </w:tr>
      <w:tr>
        <w:tc>
          <w:tcPr>
            <w:tcW w:type="dxa" w:w="960"/>
          </w:tcPr>
          <w:p>
            <w:r>
              <w:t>Basic Principles observed</w:t>
            </w:r>
          </w:p>
        </w:tc>
        <w:tc>
          <w:tcPr>
            <w:tcW w:type="dxa" w:w="960"/>
          </w:tcPr>
          <w:p>
            <w:r>
              <w:t>Technology concept formulated</w:t>
            </w:r>
          </w:p>
        </w:tc>
        <w:tc>
          <w:tcPr>
            <w:tcW w:type="dxa" w:w="960"/>
          </w:tcPr>
          <w:p>
            <w:r>
              <w:t>Experimental proof of concept</w:t>
            </w:r>
          </w:p>
        </w:tc>
        <w:tc>
          <w:tcPr>
            <w:tcW w:type="dxa" w:w="960"/>
          </w:tcPr>
          <w:p>
            <w:r>
              <w:t>Technology validated in a lab</w:t>
            </w:r>
          </w:p>
        </w:tc>
        <w:tc>
          <w:tcPr>
            <w:tcW w:type="dxa" w:w="960"/>
          </w:tcPr>
          <w:p>
            <w:r>
              <w:t>Technology validated in a relevant environment</w:t>
            </w:r>
          </w:p>
        </w:tc>
        <w:tc>
          <w:tcPr>
            <w:tcW w:type="dxa" w:w="960"/>
          </w:tcPr>
          <w:p>
            <w:r>
              <w:t>Technology demonstrated in a relevant environment</w:t>
            </w:r>
          </w:p>
        </w:tc>
        <w:tc>
          <w:tcPr>
            <w:tcW w:type="dxa" w:w="960"/>
          </w:tcPr>
          <w:p>
            <w:r>
              <w:t>System prototype demonstration in an operational environment</w:t>
            </w:r>
          </w:p>
        </w:tc>
        <w:tc>
          <w:tcPr>
            <w:tcW w:type="dxa" w:w="960"/>
          </w:tcPr>
          <w:p>
            <w:r>
              <w:t>System complete and qualified</w:t>
            </w:r>
          </w:p>
        </w:tc>
        <w:tc>
          <w:tcPr>
            <w:tcW w:type="dxa" w:w="960"/>
          </w:tcPr>
          <w:p>
            <w:r>
              <w:t>Actual system proven in an operational environment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rPr>
                <w:b/>
              </w:rPr>
              <w:t>✓</w:t>
            </w:r>
          </w:p>
        </w:tc>
        <w:tc>
          <w:tcPr>
            <w:tcW w:type="dxa" w:w="960"/>
          </w:tcPr>
          <w:p>
            <w:r/>
          </w:p>
        </w:tc>
        <w:tc>
          <w:tcPr>
            <w:tcW w:type="dxa" w:w="960"/>
          </w:tcPr>
          <w:p>
            <w:r/>
          </w:p>
        </w:tc>
      </w:tr>
    </w:tbl>
    <w:p>
      <w:pPr>
        <w:spacing w:after="80"/>
      </w:pPr>
      <w:r>
        <w:rPr>
          <w:i w:val="0"/>
        </w:rPr>
      </w:r>
    </w:p>
    <w:p>
      <w:pPr>
        <w:spacing w:after="80"/>
      </w:pPr>
      <w:r>
        <w:rPr>
          <w:i w:val="0"/>
        </w:rPr>
        <w:t>TRL 7 — system prototype demonstration in an operational environment. The complete pipeline, the scheduler and the account-and-quota layer are deployed and reachable over the public internet, have processed videos up to 11 hours in length, and have served real sign-ins and verified payment transactions in a payment gateway's test mode. It is not yet TRL 8: the deployment runs from a single machine through a tunnelled endpoint, has not been qualified for sustained multi-user load, and its highlight-generation component depends on a model checkpoint not distributed with the source.</w:t>
      </w:r>
    </w:p>
    <w:p>
      <w:pPr>
        <w:spacing w:after="80"/>
      </w:pPr>
      <w:r>
        <w:rPr>
          <w:i w:val="0"/>
        </w:rPr>
      </w:r>
    </w:p>
    <w:p>
      <w:pPr>
        <w:spacing w:after="80"/>
      </w:pPr>
      <w:r>
        <w:rPr>
          <w:i/>
        </w:rPr>
        <w:t>Disclosure status relevant to filing (for the attention of the IPR Cell):</w:t>
      </w:r>
    </w:p>
    <w:p>
      <w:pPr>
        <w:spacing w:after="80"/>
      </w:pPr>
      <w:r>
        <w:rPr>
          <w:i w:val="0"/>
        </w:rPr>
        <w:t>The source repository is private. However, the running system has been made reachable over the public internet through a tunnelled endpoint for demonstration and testing, without access control on its landing page. The inventors record this as a matter of fact and seek the Cell's determination as to whether it constitutes a publication or public disclosure affecting novelty, and whether the endpoint should be withdrawn or placed behind access control pending filing. No paper, poster, thesis or public presentation describing the invention has been published to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