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EAA97" w14:textId="77777777" w:rsidR="00E34F79" w:rsidRDefault="00E34F79" w:rsidP="00E34F79">
      <w:pPr>
        <w:jc w:val="center"/>
        <w:rPr>
          <w:b/>
        </w:rPr>
      </w:pPr>
      <w:r>
        <w:rPr>
          <w:b/>
        </w:rPr>
        <w:t>Optimization rotating shield brachytherapy treatment plan under treatment time budget</w:t>
      </w:r>
    </w:p>
    <w:p w14:paraId="33634709" w14:textId="77777777" w:rsidR="00E34F79" w:rsidRDefault="00E34F79" w:rsidP="00E34F79">
      <w:pPr>
        <w:jc w:val="center"/>
        <w:rPr>
          <w:b/>
        </w:rPr>
      </w:pPr>
      <w:proofErr w:type="spellStart"/>
      <w:r>
        <w:rPr>
          <w:b/>
        </w:rPr>
        <w:t>Jirong</w:t>
      </w:r>
      <w:proofErr w:type="spellEnd"/>
      <w:r>
        <w:rPr>
          <w:b/>
        </w:rPr>
        <w:t xml:space="preserve"> Yi, </w:t>
      </w:r>
      <w:proofErr w:type="spellStart"/>
      <w:r>
        <w:rPr>
          <w:b/>
        </w:rPr>
        <w:t>Xiaodong</w:t>
      </w:r>
      <w:proofErr w:type="spellEnd"/>
      <w:r>
        <w:rPr>
          <w:b/>
        </w:rPr>
        <w:t xml:space="preserve"> Wu, Quentin E Adams, Karolyn M </w:t>
      </w:r>
      <w:proofErr w:type="spellStart"/>
      <w:r>
        <w:rPr>
          <w:b/>
        </w:rPr>
        <w:t>Hopfensperger</w:t>
      </w:r>
      <w:proofErr w:type="spellEnd"/>
      <w:r>
        <w:rPr>
          <w:b/>
        </w:rPr>
        <w:t xml:space="preserve">, </w:t>
      </w:r>
    </w:p>
    <w:p w14:paraId="02A8F87E" w14:textId="77777777" w:rsidR="00E34F79" w:rsidRDefault="00E34F79" w:rsidP="00E34F79">
      <w:pPr>
        <w:jc w:val="center"/>
        <w:rPr>
          <w:b/>
        </w:rPr>
      </w:pPr>
      <w:r>
        <w:rPr>
          <w:b/>
        </w:rPr>
        <w:t xml:space="preserve">Kaustubh Anil Patwardhan, Ryan T Flynn, </w:t>
      </w:r>
      <w:proofErr w:type="spellStart"/>
      <w:r>
        <w:rPr>
          <w:b/>
        </w:rPr>
        <w:t>Yusung</w:t>
      </w:r>
      <w:proofErr w:type="spellEnd"/>
      <w:r>
        <w:rPr>
          <w:b/>
        </w:rPr>
        <w:t xml:space="preserve"> Kim, </w:t>
      </w:r>
      <w:proofErr w:type="spellStart"/>
      <w:r>
        <w:rPr>
          <w:b/>
        </w:rPr>
        <w:t>Weiyu</w:t>
      </w:r>
      <w:proofErr w:type="spellEnd"/>
      <w:r>
        <w:rPr>
          <w:b/>
        </w:rPr>
        <w:t xml:space="preserve"> Xu</w:t>
      </w:r>
    </w:p>
    <w:p w14:paraId="2751B38C" w14:textId="77777777" w:rsidR="00E34F79" w:rsidRDefault="00E34F79" w:rsidP="00E34F79">
      <w:r w:rsidRPr="00483505">
        <w:rPr>
          <w:b/>
        </w:rPr>
        <w:t>Purpose</w:t>
      </w:r>
      <w:r>
        <w:t>: To compute an optimized brachytherapy treatment plan under a given treatment time budget, to greatly reduce treatment time of rotating shield brachytherapy (RSBT) for cervical cancer without compromising plan quality, and to directly optimize D</w:t>
      </w:r>
      <w:r w:rsidRPr="00187CD4">
        <w:rPr>
          <w:vertAlign w:val="subscript"/>
        </w:rPr>
        <w:t>90</w:t>
      </w:r>
      <w:r>
        <w:t xml:space="preserve"> to further improve plan quality.    </w:t>
      </w:r>
    </w:p>
    <w:p w14:paraId="0461B711" w14:textId="77777777" w:rsidR="00E34F79" w:rsidRDefault="00E34F79" w:rsidP="00E34F79">
      <w:r w:rsidRPr="00483505">
        <w:rPr>
          <w:b/>
        </w:rPr>
        <w:t>Methods</w:t>
      </w:r>
      <w:r>
        <w:t>: In the RSBT treatment planning system, we use single shield with 45</w:t>
      </w:r>
      <w:r>
        <w:rPr>
          <w:rFonts w:cstheme="minorHAnsi"/>
        </w:rPr>
        <w:t>°</w:t>
      </w:r>
      <w:r>
        <w:t xml:space="preserve"> emission angle and radiation source </w:t>
      </w:r>
      <w:r w:rsidRPr="007268EC">
        <w:rPr>
          <w:vertAlign w:val="superscript"/>
        </w:rPr>
        <w:t>169</w:t>
      </w:r>
      <w:r>
        <w:t>Yb. We introduce a time budget constraint in the treatment planning and model the problem as a quadratic optimization which is solved by CPLEX. We investigate the tradeoff between treatment time and plan quality. We further introduce another novel second stage planning to achieve the following goals: (1) directly optimize D</w:t>
      </w:r>
      <w:r w:rsidRPr="00187CD4">
        <w:rPr>
          <w:vertAlign w:val="subscript"/>
        </w:rPr>
        <w:t>90</w:t>
      </w:r>
      <w:r>
        <w:t>; (2) explicitly constrain the scaling factor to be 1. The first model provides guidance for defining a hottest 90% region in high-risk clinical target volume (HR-CTV) and hottest 2 cm</w:t>
      </w:r>
      <w:r w:rsidRPr="00187CD4">
        <w:rPr>
          <w:vertAlign w:val="superscript"/>
        </w:rPr>
        <w:t>3</w:t>
      </w:r>
      <w:r>
        <w:t xml:space="preserve"> regions in organ at risks (OAR), and the second planning will directly maximize D</w:t>
      </w:r>
      <w:r w:rsidRPr="00187CD4">
        <w:rPr>
          <w:vertAlign w:val="subscript"/>
        </w:rPr>
        <w:t>90</w:t>
      </w:r>
      <w:r>
        <w:t xml:space="preserve"> under the tolerance constraints for OARs and treatment time constraint. </w:t>
      </w:r>
    </w:p>
    <w:p w14:paraId="33B8A9F2" w14:textId="77777777" w:rsidR="00E34F79" w:rsidRDefault="00E34F79" w:rsidP="00E34F79">
      <w:r w:rsidRPr="00483505">
        <w:rPr>
          <w:b/>
        </w:rPr>
        <w:t>Results</w:t>
      </w:r>
      <w:r>
        <w:t>: We validate our algorithms via experiments on 5 patient cases. The results show that on average, when we reduce the delivery time from 45.85 min to 37.10 min and 28.14 min, the D</w:t>
      </w:r>
      <w:r w:rsidRPr="00187CD4">
        <w:rPr>
          <w:vertAlign w:val="subscript"/>
        </w:rPr>
        <w:t>90</w:t>
      </w:r>
      <w:r>
        <w:t xml:space="preserve"> will decrease from 88.12 </w:t>
      </w:r>
      <w:proofErr w:type="spellStart"/>
      <w:r>
        <w:t>Gy</w:t>
      </w:r>
      <w:proofErr w:type="spellEnd"/>
      <w:r>
        <w:t xml:space="preserve"> to 86.10 </w:t>
      </w:r>
      <w:proofErr w:type="spellStart"/>
      <w:r>
        <w:t>Gy</w:t>
      </w:r>
      <w:proofErr w:type="spellEnd"/>
      <w:r>
        <w:t xml:space="preserve"> and 81.98 </w:t>
      </w:r>
      <w:proofErr w:type="spellStart"/>
      <w:r>
        <w:t>Gy</w:t>
      </w:r>
      <w:proofErr w:type="spellEnd"/>
      <w:r>
        <w:t xml:space="preserve"> correspondingly. The results also show that on average, the second planning can further improve the D90 from 88.12 </w:t>
      </w:r>
      <w:proofErr w:type="spellStart"/>
      <w:r>
        <w:t>Gy</w:t>
      </w:r>
      <w:proofErr w:type="spellEnd"/>
      <w:r>
        <w:t xml:space="preserve"> to 90.47 </w:t>
      </w:r>
      <w:proofErr w:type="spellStart"/>
      <w:r>
        <w:t>Gy</w:t>
      </w:r>
      <w:proofErr w:type="spellEnd"/>
      <w:r>
        <w:t xml:space="preserve">. </w:t>
      </w:r>
    </w:p>
    <w:p w14:paraId="4E5C672E" w14:textId="77777777" w:rsidR="00E34F79" w:rsidRDefault="00E34F79" w:rsidP="00E34F79">
      <w:r w:rsidRPr="00483505">
        <w:rPr>
          <w:b/>
        </w:rPr>
        <w:t>Conclusion</w:t>
      </w:r>
      <w:r>
        <w:t>: This work shows that significant reduction in treatment time is possible without compromising the quality of treatment plan. By introducing a second stage planning, the D</w:t>
      </w:r>
      <w:r w:rsidRPr="00187CD4">
        <w:rPr>
          <w:vertAlign w:val="subscript"/>
        </w:rPr>
        <w:t>90</w:t>
      </w:r>
      <w:r>
        <w:t xml:space="preserve"> can be further improved.   </w:t>
      </w:r>
    </w:p>
    <w:p w14:paraId="49EF2760" w14:textId="77777777" w:rsidR="00E34F79" w:rsidRPr="00FC3B65" w:rsidRDefault="00E34F79" w:rsidP="00E34F79">
      <w:pPr>
        <w:rPr>
          <w:b/>
        </w:rPr>
      </w:pPr>
      <w:r>
        <w:rPr>
          <w:b/>
        </w:rPr>
        <w:t>Keywords: Brachytherapy, treatment planning optimization, D</w:t>
      </w:r>
      <w:r w:rsidRPr="00623ECA">
        <w:rPr>
          <w:b/>
          <w:vertAlign w:val="subscript"/>
        </w:rPr>
        <w:t>90</w:t>
      </w:r>
      <w:r>
        <w:rPr>
          <w:b/>
        </w:rPr>
        <w:t xml:space="preserve"> optimization</w:t>
      </w:r>
    </w:p>
    <w:p w14:paraId="28EFF7A7" w14:textId="77777777" w:rsidR="00E34F79" w:rsidRDefault="00E34F79" w:rsidP="00E34F79">
      <w:pPr>
        <w:rPr>
          <w:rFonts w:ascii="Arial" w:hAnsi="Arial" w:cs="Arial"/>
        </w:rPr>
      </w:pPr>
      <w:r w:rsidRPr="00991840">
        <w:rPr>
          <w:rFonts w:ascii="Arial" w:hAnsi="Arial" w:cs="Arial"/>
          <w:b/>
        </w:rPr>
        <w:t>Innovation</w:t>
      </w:r>
      <w:r>
        <w:rPr>
          <w:rFonts w:ascii="Arial" w:hAnsi="Arial" w:cs="Arial"/>
        </w:rPr>
        <w:t>: The novelties of this study include: 1) we consider explicitly the delivery time budget and find an optimized treatment plan under this budget (first stage planning); 2) We further introduce a second stage planning which is based on the first stage planning. When the first stage planning does not find best treatment plan, the second stage planning can find one closer to the best treatment plan. When the first model finds the best treatment plan, the second stage model can serve as a double</w:t>
      </w:r>
      <w:r>
        <w:rPr>
          <w:rFonts w:ascii="Arial" w:hAnsi="Arial" w:cs="Arial" w:hint="eastAsia"/>
        </w:rPr>
        <w:t>-</w:t>
      </w:r>
      <w:r>
        <w:rPr>
          <w:rFonts w:ascii="Arial" w:hAnsi="Arial" w:cs="Arial"/>
        </w:rPr>
        <w:t>checking role</w:t>
      </w:r>
      <w:r>
        <w:rPr>
          <w:rFonts w:ascii="Arial" w:hAnsi="Arial" w:cs="Arial" w:hint="eastAsia"/>
        </w:rPr>
        <w:t>.</w:t>
      </w:r>
      <w:r>
        <w:rPr>
          <w:rFonts w:ascii="Arial" w:hAnsi="Arial" w:cs="Arial"/>
        </w:rPr>
        <w:t xml:space="preserve">  </w:t>
      </w:r>
    </w:p>
    <w:p w14:paraId="18FC7A2B" w14:textId="77777777" w:rsidR="00E34F79" w:rsidRDefault="00E34F79" w:rsidP="00E34F79">
      <w:pPr>
        <w:rPr>
          <w:rFonts w:ascii="Arial" w:hAnsi="Arial" w:cs="Arial"/>
        </w:rPr>
      </w:pPr>
      <w:r w:rsidRPr="00991840">
        <w:rPr>
          <w:rFonts w:ascii="Arial" w:hAnsi="Arial" w:cs="Arial"/>
          <w:b/>
        </w:rPr>
        <w:t>Key Results</w:t>
      </w:r>
      <w:r>
        <w:rPr>
          <w:rFonts w:ascii="Arial" w:hAnsi="Arial" w:cs="Arial"/>
        </w:rPr>
        <w:t>: The experiments are conducted on 5 patient cases. The tradeoff between delivery time reduction and plan quality is shown in Figure 1-2 for the case 2 and case 5 respectively. In Figure 3, we demonstrate the D</w:t>
      </w:r>
      <w:r w:rsidRPr="00A172F1">
        <w:rPr>
          <w:rFonts w:ascii="Arial" w:hAnsi="Arial" w:cs="Arial"/>
          <w:vertAlign w:val="subscript"/>
        </w:rPr>
        <w:t>90</w:t>
      </w:r>
      <w:r>
        <w:rPr>
          <w:rFonts w:ascii="Arial" w:hAnsi="Arial" w:cs="Arial"/>
        </w:rPr>
        <w:t xml:space="preserve"> improvements for each case with 5 different trials (the D</w:t>
      </w:r>
      <w:r w:rsidRPr="00A172F1">
        <w:rPr>
          <w:rFonts w:ascii="Arial" w:hAnsi="Arial" w:cs="Arial"/>
          <w:vertAlign w:val="subscript"/>
        </w:rPr>
        <w:t>90</w:t>
      </w:r>
      <w:r>
        <w:rPr>
          <w:rFonts w:ascii="Arial" w:hAnsi="Arial" w:cs="Arial"/>
        </w:rPr>
        <w:t xml:space="preserve"> obtained in second stage planning minus the D</w:t>
      </w:r>
      <w:r w:rsidRPr="00A172F1">
        <w:rPr>
          <w:rFonts w:ascii="Arial" w:hAnsi="Arial" w:cs="Arial"/>
          <w:vertAlign w:val="subscript"/>
        </w:rPr>
        <w:t>90</w:t>
      </w:r>
      <w:r>
        <w:rPr>
          <w:rFonts w:ascii="Arial" w:hAnsi="Arial" w:cs="Arial"/>
        </w:rPr>
        <w:t xml:space="preserve"> obtained in the first stage planning). We present the dose map and DVH dose escalation under different time budgets for case 1 using the first stage planning in Figure 4-7. We present the dose map and DVH dose escalation for case 2 using first stage planning and second stage planning in Figure 8-11. We present the quantitative results averaged over 5 cases in Table 1.    </w:t>
      </w:r>
    </w:p>
    <w:tbl>
      <w:tblPr>
        <w:tblStyle w:val="TableGrid"/>
        <w:tblW w:w="0" w:type="auto"/>
        <w:tblLook w:val="04A0" w:firstRow="1" w:lastRow="0" w:firstColumn="1" w:lastColumn="0" w:noHBand="0" w:noVBand="1"/>
      </w:tblPr>
      <w:tblGrid>
        <w:gridCol w:w="3596"/>
        <w:gridCol w:w="3597"/>
        <w:gridCol w:w="3597"/>
      </w:tblGrid>
      <w:tr w:rsidR="00E34F79" w14:paraId="04CA32A2" w14:textId="77777777" w:rsidTr="002150C2">
        <w:tc>
          <w:tcPr>
            <w:tcW w:w="3596" w:type="dxa"/>
          </w:tcPr>
          <w:p w14:paraId="28E77573" w14:textId="77777777" w:rsidR="00E34F79" w:rsidRDefault="00E34F79" w:rsidP="002150C2">
            <w:pPr>
              <w:rPr>
                <w:rFonts w:ascii="Arial" w:hAnsi="Arial" w:cs="Arial"/>
              </w:rPr>
            </w:pPr>
            <w:r>
              <w:rPr>
                <w:rFonts w:ascii="Arial" w:hAnsi="Arial" w:cs="Arial"/>
                <w:noProof/>
              </w:rPr>
              <w:drawing>
                <wp:inline distT="0" distB="0" distL="0" distR="0" wp14:anchorId="6FE95A97" wp14:editId="664554B4">
                  <wp:extent cx="2076294" cy="1443037"/>
                  <wp:effectExtent l="0" t="0" r="635" b="508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72262" cy="1509735"/>
                          </a:xfrm>
                          <a:prstGeom prst="rect">
                            <a:avLst/>
                          </a:prstGeom>
                        </pic:spPr>
                      </pic:pic>
                    </a:graphicData>
                  </a:graphic>
                </wp:inline>
              </w:drawing>
            </w:r>
          </w:p>
        </w:tc>
        <w:tc>
          <w:tcPr>
            <w:tcW w:w="3597" w:type="dxa"/>
          </w:tcPr>
          <w:p w14:paraId="52918E99" w14:textId="77777777" w:rsidR="00E34F79" w:rsidRDefault="00E34F79" w:rsidP="002150C2">
            <w:pPr>
              <w:rPr>
                <w:rFonts w:ascii="Arial" w:hAnsi="Arial" w:cs="Arial"/>
              </w:rPr>
            </w:pPr>
            <w:r>
              <w:rPr>
                <w:rFonts w:ascii="Arial" w:hAnsi="Arial" w:cs="Arial"/>
                <w:noProof/>
              </w:rPr>
              <w:drawing>
                <wp:inline distT="0" distB="0" distL="0" distR="0" wp14:anchorId="0CCF755B" wp14:editId="0DD5D01F">
                  <wp:extent cx="2080329" cy="1574800"/>
                  <wp:effectExtent l="0" t="0" r="0" b="63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5843" cy="1631963"/>
                          </a:xfrm>
                          <a:prstGeom prst="rect">
                            <a:avLst/>
                          </a:prstGeom>
                        </pic:spPr>
                      </pic:pic>
                    </a:graphicData>
                  </a:graphic>
                </wp:inline>
              </w:drawing>
            </w:r>
          </w:p>
        </w:tc>
        <w:tc>
          <w:tcPr>
            <w:tcW w:w="3597" w:type="dxa"/>
          </w:tcPr>
          <w:p w14:paraId="35186AE9" w14:textId="77777777" w:rsidR="00E34F79" w:rsidRDefault="00E34F79" w:rsidP="002150C2">
            <w:pPr>
              <w:rPr>
                <w:rFonts w:ascii="Arial" w:hAnsi="Arial" w:cs="Arial"/>
              </w:rPr>
            </w:pPr>
            <w:r>
              <w:rPr>
                <w:rFonts w:ascii="Arial" w:hAnsi="Arial" w:cs="Arial"/>
                <w:noProof/>
              </w:rPr>
              <w:drawing>
                <wp:inline distT="0" distB="0" distL="0" distR="0" wp14:anchorId="5E9DE13E" wp14:editId="69D6F943">
                  <wp:extent cx="2019300" cy="1565104"/>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8457" cy="1626456"/>
                          </a:xfrm>
                          <a:prstGeom prst="rect">
                            <a:avLst/>
                          </a:prstGeom>
                        </pic:spPr>
                      </pic:pic>
                    </a:graphicData>
                  </a:graphic>
                </wp:inline>
              </w:drawing>
            </w:r>
          </w:p>
        </w:tc>
      </w:tr>
      <w:tr w:rsidR="00E34F79" w:rsidRPr="00562DDA" w14:paraId="3CD4CD26" w14:textId="77777777" w:rsidTr="002150C2">
        <w:tc>
          <w:tcPr>
            <w:tcW w:w="3596" w:type="dxa"/>
          </w:tcPr>
          <w:p w14:paraId="5C0516FD" w14:textId="77777777" w:rsidR="00E34F79" w:rsidRPr="001E22A1" w:rsidRDefault="00E34F79" w:rsidP="002150C2">
            <w:pPr>
              <w:rPr>
                <w:rFonts w:ascii="Arial" w:hAnsi="Arial" w:cs="Arial"/>
                <w:sz w:val="11"/>
                <w:szCs w:val="9"/>
              </w:rPr>
            </w:pPr>
            <w:r w:rsidRPr="001E22A1">
              <w:rPr>
                <w:rFonts w:ascii="Arial" w:hAnsi="Arial" w:cs="Arial"/>
                <w:sz w:val="11"/>
                <w:szCs w:val="9"/>
              </w:rPr>
              <w:t>Figure 1: Dose variation and delivery time variation using first stage model.</w:t>
            </w:r>
          </w:p>
        </w:tc>
        <w:tc>
          <w:tcPr>
            <w:tcW w:w="3597" w:type="dxa"/>
          </w:tcPr>
          <w:p w14:paraId="4A4FD335" w14:textId="77777777" w:rsidR="00E34F79" w:rsidRPr="001E22A1" w:rsidRDefault="00E34F79" w:rsidP="002150C2">
            <w:pPr>
              <w:rPr>
                <w:rFonts w:ascii="Arial" w:hAnsi="Arial" w:cs="Arial"/>
                <w:sz w:val="11"/>
                <w:szCs w:val="9"/>
              </w:rPr>
            </w:pPr>
            <w:r w:rsidRPr="001E22A1">
              <w:rPr>
                <w:rFonts w:ascii="Arial" w:hAnsi="Arial" w:cs="Arial"/>
                <w:sz w:val="11"/>
                <w:szCs w:val="9"/>
              </w:rPr>
              <w:t>Figure 2: Dose variation and delivery time variation using first stage model.</w:t>
            </w:r>
          </w:p>
        </w:tc>
        <w:tc>
          <w:tcPr>
            <w:tcW w:w="3597" w:type="dxa"/>
          </w:tcPr>
          <w:p w14:paraId="73667649" w14:textId="77777777" w:rsidR="00E34F79" w:rsidRPr="001E22A1" w:rsidRDefault="00E34F79" w:rsidP="002150C2">
            <w:pPr>
              <w:rPr>
                <w:rFonts w:ascii="Arial" w:hAnsi="Arial" w:cs="Arial"/>
                <w:sz w:val="11"/>
                <w:szCs w:val="9"/>
              </w:rPr>
            </w:pPr>
            <w:r w:rsidRPr="001E22A1">
              <w:rPr>
                <w:rFonts w:ascii="Arial" w:hAnsi="Arial" w:cs="Arial"/>
                <w:sz w:val="11"/>
                <w:szCs w:val="9"/>
              </w:rPr>
              <w:t>Figure 3: D</w:t>
            </w:r>
            <w:r w:rsidRPr="00A172F1">
              <w:rPr>
                <w:rFonts w:ascii="Arial" w:hAnsi="Arial" w:cs="Arial"/>
                <w:sz w:val="11"/>
                <w:szCs w:val="9"/>
                <w:vertAlign w:val="subscript"/>
              </w:rPr>
              <w:t>90</w:t>
            </w:r>
            <w:r w:rsidRPr="001E22A1">
              <w:rPr>
                <w:rFonts w:ascii="Arial" w:hAnsi="Arial" w:cs="Arial"/>
                <w:sz w:val="11"/>
                <w:szCs w:val="9"/>
              </w:rPr>
              <w:t xml:space="preserve"> improvement using second stage model. Compared with D90 obtained using first stage model.</w:t>
            </w:r>
          </w:p>
        </w:tc>
      </w:tr>
    </w:tbl>
    <w:p w14:paraId="4ACF03BF" w14:textId="77777777" w:rsidR="00E34F79" w:rsidRDefault="00E34F79" w:rsidP="00E34F79">
      <w:pPr>
        <w:rPr>
          <w:rFonts w:ascii="Arial" w:hAnsi="Arial" w:cs="Arial"/>
          <w:sz w:val="16"/>
          <w:szCs w:val="16"/>
        </w:rPr>
      </w:pPr>
    </w:p>
    <w:tbl>
      <w:tblPr>
        <w:tblStyle w:val="TableGrid"/>
        <w:tblW w:w="0" w:type="auto"/>
        <w:tblLayout w:type="fixed"/>
        <w:tblLook w:val="04A0" w:firstRow="1" w:lastRow="0" w:firstColumn="1" w:lastColumn="0" w:noHBand="0" w:noVBand="1"/>
      </w:tblPr>
      <w:tblGrid>
        <w:gridCol w:w="2697"/>
        <w:gridCol w:w="2698"/>
        <w:gridCol w:w="2697"/>
        <w:gridCol w:w="2698"/>
      </w:tblGrid>
      <w:tr w:rsidR="00E34F79" w14:paraId="523CA31F" w14:textId="77777777" w:rsidTr="002150C2">
        <w:tc>
          <w:tcPr>
            <w:tcW w:w="2697" w:type="dxa"/>
          </w:tcPr>
          <w:p w14:paraId="02CF812B" w14:textId="77777777" w:rsidR="00E34F79" w:rsidRDefault="00E34F79" w:rsidP="002150C2">
            <w:pPr>
              <w:rPr>
                <w:rFonts w:ascii="Arial" w:hAnsi="Arial" w:cs="Arial"/>
              </w:rPr>
            </w:pPr>
            <w:r>
              <w:rPr>
                <w:rFonts w:ascii="Arial" w:hAnsi="Arial" w:cs="Arial"/>
                <w:noProof/>
              </w:rPr>
              <w:lastRenderedPageBreak/>
              <w:drawing>
                <wp:inline distT="0" distB="0" distL="0" distR="0" wp14:anchorId="77257533" wp14:editId="730E1B03">
                  <wp:extent cx="1612856" cy="1244851"/>
                  <wp:effectExtent l="0" t="0" r="6985"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2587" cy="1290953"/>
                          </a:xfrm>
                          <a:prstGeom prst="rect">
                            <a:avLst/>
                          </a:prstGeom>
                        </pic:spPr>
                      </pic:pic>
                    </a:graphicData>
                  </a:graphic>
                </wp:inline>
              </w:drawing>
            </w:r>
          </w:p>
        </w:tc>
        <w:tc>
          <w:tcPr>
            <w:tcW w:w="2698" w:type="dxa"/>
          </w:tcPr>
          <w:p w14:paraId="6D9B0CBC" w14:textId="77777777" w:rsidR="00E34F79" w:rsidRDefault="00E34F79" w:rsidP="002150C2">
            <w:pPr>
              <w:rPr>
                <w:rFonts w:ascii="Arial" w:hAnsi="Arial" w:cs="Arial"/>
              </w:rPr>
            </w:pPr>
            <w:r>
              <w:rPr>
                <w:rFonts w:ascii="Arial" w:hAnsi="Arial" w:cs="Arial"/>
                <w:noProof/>
              </w:rPr>
              <w:drawing>
                <wp:inline distT="0" distB="0" distL="0" distR="0" wp14:anchorId="7F2F3B18" wp14:editId="51FB1568">
                  <wp:extent cx="1629650" cy="1300348"/>
                  <wp:effectExtent l="0" t="0" r="889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4281" cy="1383836"/>
                          </a:xfrm>
                          <a:prstGeom prst="rect">
                            <a:avLst/>
                          </a:prstGeom>
                        </pic:spPr>
                      </pic:pic>
                    </a:graphicData>
                  </a:graphic>
                </wp:inline>
              </w:drawing>
            </w:r>
          </w:p>
        </w:tc>
        <w:tc>
          <w:tcPr>
            <w:tcW w:w="2697" w:type="dxa"/>
          </w:tcPr>
          <w:p w14:paraId="70447864" w14:textId="77777777" w:rsidR="00E34F79" w:rsidRDefault="00E34F79" w:rsidP="002150C2">
            <w:pPr>
              <w:rPr>
                <w:rFonts w:ascii="Arial" w:hAnsi="Arial" w:cs="Arial"/>
              </w:rPr>
            </w:pPr>
            <w:r>
              <w:rPr>
                <w:rFonts w:ascii="Arial" w:hAnsi="Arial" w:cs="Arial"/>
                <w:noProof/>
              </w:rPr>
              <w:drawing>
                <wp:inline distT="0" distB="0" distL="0" distR="0" wp14:anchorId="28712334" wp14:editId="1760555D">
                  <wp:extent cx="1686468" cy="1312224"/>
                  <wp:effectExtent l="0" t="0" r="9525" b="2540"/>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5455" cy="1350340"/>
                          </a:xfrm>
                          <a:prstGeom prst="rect">
                            <a:avLst/>
                          </a:prstGeom>
                        </pic:spPr>
                      </pic:pic>
                    </a:graphicData>
                  </a:graphic>
                </wp:inline>
              </w:drawing>
            </w:r>
          </w:p>
        </w:tc>
        <w:tc>
          <w:tcPr>
            <w:tcW w:w="2698" w:type="dxa"/>
          </w:tcPr>
          <w:p w14:paraId="0DCB7B0F" w14:textId="77777777" w:rsidR="00E34F79" w:rsidRDefault="00E34F79" w:rsidP="002150C2">
            <w:pPr>
              <w:rPr>
                <w:rFonts w:ascii="Arial" w:hAnsi="Arial" w:cs="Arial"/>
              </w:rPr>
            </w:pPr>
            <w:r>
              <w:rPr>
                <w:rFonts w:ascii="Arial" w:hAnsi="Arial" w:cs="Arial"/>
                <w:noProof/>
              </w:rPr>
              <w:drawing>
                <wp:inline distT="0" distB="0" distL="0" distR="0" wp14:anchorId="65B79199" wp14:editId="4E5978FE">
                  <wp:extent cx="1692827" cy="1312697"/>
                  <wp:effectExtent l="0" t="0" r="3175" b="1905"/>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4207" cy="1313767"/>
                          </a:xfrm>
                          <a:prstGeom prst="rect">
                            <a:avLst/>
                          </a:prstGeom>
                        </pic:spPr>
                      </pic:pic>
                    </a:graphicData>
                  </a:graphic>
                </wp:inline>
              </w:drawing>
            </w:r>
          </w:p>
        </w:tc>
      </w:tr>
      <w:tr w:rsidR="00E34F79" w14:paraId="3728902D" w14:textId="77777777" w:rsidTr="002150C2">
        <w:tc>
          <w:tcPr>
            <w:tcW w:w="2697" w:type="dxa"/>
          </w:tcPr>
          <w:p w14:paraId="7B4AD0B2" w14:textId="77777777" w:rsidR="00E34F79" w:rsidRPr="00235D1E" w:rsidRDefault="00E34F79" w:rsidP="002150C2">
            <w:pPr>
              <w:rPr>
                <w:rFonts w:ascii="Arial" w:hAnsi="Arial" w:cs="Arial"/>
                <w:sz w:val="13"/>
                <w:szCs w:val="9"/>
              </w:rPr>
            </w:pPr>
            <w:r w:rsidRPr="00235D1E">
              <w:rPr>
                <w:rFonts w:ascii="Arial" w:hAnsi="Arial" w:cs="Arial"/>
                <w:sz w:val="13"/>
                <w:szCs w:val="9"/>
              </w:rPr>
              <w:t>Figure 4: Dose map of case 1 with delivery time 39.13 min, first stage model used.</w:t>
            </w:r>
          </w:p>
        </w:tc>
        <w:tc>
          <w:tcPr>
            <w:tcW w:w="2698" w:type="dxa"/>
          </w:tcPr>
          <w:p w14:paraId="00354736" w14:textId="77777777" w:rsidR="00E34F79" w:rsidRPr="00235D1E" w:rsidRDefault="00E34F79" w:rsidP="002150C2">
            <w:pPr>
              <w:rPr>
                <w:rFonts w:ascii="Arial" w:hAnsi="Arial" w:cs="Arial"/>
                <w:sz w:val="13"/>
                <w:szCs w:val="9"/>
              </w:rPr>
            </w:pPr>
            <w:r w:rsidRPr="00235D1E">
              <w:rPr>
                <w:rFonts w:ascii="Arial" w:hAnsi="Arial" w:cs="Arial"/>
                <w:sz w:val="13"/>
                <w:szCs w:val="9"/>
              </w:rPr>
              <w:t>Figure 6: Dose map of case 1 with delivery time 17.66 min, first stage model used.</w:t>
            </w:r>
          </w:p>
        </w:tc>
        <w:tc>
          <w:tcPr>
            <w:tcW w:w="2697" w:type="dxa"/>
          </w:tcPr>
          <w:p w14:paraId="16F9908D" w14:textId="77777777" w:rsidR="00E34F79" w:rsidRPr="00235D1E" w:rsidRDefault="00E34F79" w:rsidP="002150C2">
            <w:pPr>
              <w:rPr>
                <w:rFonts w:ascii="Arial" w:hAnsi="Arial" w:cs="Arial"/>
                <w:sz w:val="13"/>
                <w:szCs w:val="9"/>
              </w:rPr>
            </w:pPr>
            <w:r w:rsidRPr="00235D1E">
              <w:rPr>
                <w:rFonts w:ascii="Arial" w:hAnsi="Arial" w:cs="Arial"/>
                <w:sz w:val="13"/>
                <w:szCs w:val="9"/>
              </w:rPr>
              <w:t>Figure 8: Dose map of case 2, first stage model used.</w:t>
            </w:r>
          </w:p>
        </w:tc>
        <w:tc>
          <w:tcPr>
            <w:tcW w:w="2698" w:type="dxa"/>
          </w:tcPr>
          <w:p w14:paraId="7F2B31F5" w14:textId="77777777" w:rsidR="00E34F79" w:rsidRPr="00235D1E" w:rsidRDefault="00E34F79" w:rsidP="002150C2">
            <w:pPr>
              <w:rPr>
                <w:rFonts w:ascii="Arial" w:hAnsi="Arial" w:cs="Arial"/>
                <w:sz w:val="13"/>
                <w:szCs w:val="9"/>
              </w:rPr>
            </w:pPr>
            <w:r w:rsidRPr="00235D1E">
              <w:rPr>
                <w:rFonts w:ascii="Arial" w:hAnsi="Arial" w:cs="Arial"/>
                <w:sz w:val="13"/>
                <w:szCs w:val="9"/>
              </w:rPr>
              <w:t>Figure 9: Dose map of case 2, second stage model used.</w:t>
            </w:r>
          </w:p>
        </w:tc>
      </w:tr>
      <w:tr w:rsidR="00E34F79" w14:paraId="2F73BC38" w14:textId="77777777" w:rsidTr="002150C2">
        <w:tc>
          <w:tcPr>
            <w:tcW w:w="2697" w:type="dxa"/>
          </w:tcPr>
          <w:p w14:paraId="2A2FEA49" w14:textId="77777777" w:rsidR="00E34F79" w:rsidRDefault="00E34F79" w:rsidP="002150C2">
            <w:pPr>
              <w:rPr>
                <w:rFonts w:ascii="Arial" w:hAnsi="Arial" w:cs="Arial"/>
              </w:rPr>
            </w:pPr>
            <w:r>
              <w:rPr>
                <w:rFonts w:ascii="Arial" w:hAnsi="Arial" w:cs="Arial"/>
                <w:noProof/>
              </w:rPr>
              <w:drawing>
                <wp:inline distT="0" distB="0" distL="0" distR="0" wp14:anchorId="59837D04" wp14:editId="245FED01">
                  <wp:extent cx="1630451" cy="1200150"/>
                  <wp:effectExtent l="0" t="0" r="8255"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0400" cy="1281082"/>
                          </a:xfrm>
                          <a:prstGeom prst="rect">
                            <a:avLst/>
                          </a:prstGeom>
                        </pic:spPr>
                      </pic:pic>
                    </a:graphicData>
                  </a:graphic>
                </wp:inline>
              </w:drawing>
            </w:r>
          </w:p>
        </w:tc>
        <w:tc>
          <w:tcPr>
            <w:tcW w:w="2698" w:type="dxa"/>
          </w:tcPr>
          <w:p w14:paraId="0B3BC77E" w14:textId="77777777" w:rsidR="00E34F79" w:rsidRDefault="00E34F79" w:rsidP="002150C2">
            <w:pPr>
              <w:rPr>
                <w:rFonts w:ascii="Arial" w:hAnsi="Arial" w:cs="Arial"/>
              </w:rPr>
            </w:pPr>
            <w:r>
              <w:rPr>
                <w:rFonts w:ascii="Arial" w:hAnsi="Arial" w:cs="Arial"/>
                <w:noProof/>
              </w:rPr>
              <w:drawing>
                <wp:inline distT="0" distB="0" distL="0" distR="0" wp14:anchorId="0F13FE15" wp14:editId="0D072062">
                  <wp:extent cx="1642745" cy="1176337"/>
                  <wp:effectExtent l="0" t="0" r="0" b="508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0753" cy="1217875"/>
                          </a:xfrm>
                          <a:prstGeom prst="rect">
                            <a:avLst/>
                          </a:prstGeom>
                        </pic:spPr>
                      </pic:pic>
                    </a:graphicData>
                  </a:graphic>
                </wp:inline>
              </w:drawing>
            </w:r>
          </w:p>
        </w:tc>
        <w:tc>
          <w:tcPr>
            <w:tcW w:w="2697" w:type="dxa"/>
          </w:tcPr>
          <w:p w14:paraId="0F60DF81" w14:textId="77777777" w:rsidR="00E34F79" w:rsidRDefault="00E34F79" w:rsidP="002150C2">
            <w:pPr>
              <w:rPr>
                <w:rFonts w:ascii="Arial" w:hAnsi="Arial" w:cs="Arial"/>
              </w:rPr>
            </w:pPr>
            <w:r>
              <w:rPr>
                <w:rFonts w:ascii="Arial" w:hAnsi="Arial" w:cs="Arial"/>
                <w:noProof/>
              </w:rPr>
              <w:drawing>
                <wp:inline distT="0" distB="0" distL="0" distR="0" wp14:anchorId="6571FE48" wp14:editId="6134F036">
                  <wp:extent cx="1627505" cy="1190625"/>
                  <wp:effectExtent l="0" t="0" r="0" b="9525"/>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5342" cy="1306093"/>
                          </a:xfrm>
                          <a:prstGeom prst="rect">
                            <a:avLst/>
                          </a:prstGeom>
                        </pic:spPr>
                      </pic:pic>
                    </a:graphicData>
                  </a:graphic>
                </wp:inline>
              </w:drawing>
            </w:r>
          </w:p>
        </w:tc>
        <w:tc>
          <w:tcPr>
            <w:tcW w:w="2698" w:type="dxa"/>
          </w:tcPr>
          <w:p w14:paraId="126B0A38" w14:textId="77777777" w:rsidR="00E34F79" w:rsidRDefault="00E34F79" w:rsidP="002150C2">
            <w:pPr>
              <w:rPr>
                <w:rFonts w:ascii="Arial" w:hAnsi="Arial" w:cs="Arial"/>
              </w:rPr>
            </w:pPr>
            <w:r>
              <w:rPr>
                <w:noProof/>
              </w:rPr>
              <w:drawing>
                <wp:inline distT="0" distB="0" distL="0" distR="0" wp14:anchorId="46F04293" wp14:editId="0A36DE04">
                  <wp:extent cx="1623506" cy="11811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stretch>
                            <a:fillRect/>
                          </a:stretch>
                        </pic:blipFill>
                        <pic:spPr>
                          <a:xfrm>
                            <a:off x="0" y="0"/>
                            <a:ext cx="1668315" cy="1213699"/>
                          </a:xfrm>
                          <a:prstGeom prst="rect">
                            <a:avLst/>
                          </a:prstGeom>
                        </pic:spPr>
                      </pic:pic>
                    </a:graphicData>
                  </a:graphic>
                </wp:inline>
              </w:drawing>
            </w:r>
          </w:p>
        </w:tc>
      </w:tr>
      <w:tr w:rsidR="00E34F79" w14:paraId="7379916C" w14:textId="77777777" w:rsidTr="002150C2">
        <w:tc>
          <w:tcPr>
            <w:tcW w:w="2697" w:type="dxa"/>
          </w:tcPr>
          <w:p w14:paraId="06087AD4" w14:textId="77777777" w:rsidR="00E34F79" w:rsidRPr="00235D1E" w:rsidRDefault="00E34F79" w:rsidP="002150C2">
            <w:pPr>
              <w:rPr>
                <w:rFonts w:ascii="Arial" w:hAnsi="Arial" w:cs="Arial"/>
                <w:sz w:val="13"/>
                <w:szCs w:val="9"/>
              </w:rPr>
            </w:pPr>
            <w:r w:rsidRPr="00235D1E">
              <w:rPr>
                <w:rFonts w:ascii="Arial" w:hAnsi="Arial" w:cs="Arial"/>
                <w:sz w:val="13"/>
                <w:szCs w:val="9"/>
              </w:rPr>
              <w:t>Figure 5: DVH dose escalation of case 1 with delivery time 39.13 min, first stage model used</w:t>
            </w:r>
          </w:p>
        </w:tc>
        <w:tc>
          <w:tcPr>
            <w:tcW w:w="2698" w:type="dxa"/>
          </w:tcPr>
          <w:p w14:paraId="0E5CB943" w14:textId="77777777" w:rsidR="00E34F79" w:rsidRPr="00235D1E" w:rsidRDefault="00E34F79" w:rsidP="002150C2">
            <w:pPr>
              <w:rPr>
                <w:rFonts w:ascii="Arial" w:hAnsi="Arial" w:cs="Arial"/>
                <w:sz w:val="13"/>
                <w:szCs w:val="9"/>
              </w:rPr>
            </w:pPr>
            <w:r w:rsidRPr="00235D1E">
              <w:rPr>
                <w:rFonts w:ascii="Arial" w:hAnsi="Arial" w:cs="Arial"/>
                <w:sz w:val="13"/>
                <w:szCs w:val="9"/>
              </w:rPr>
              <w:t>Figure 7: DVH dose escalation of case 1 with delivery time 17.66 min, first stage model used.</w:t>
            </w:r>
          </w:p>
        </w:tc>
        <w:tc>
          <w:tcPr>
            <w:tcW w:w="2697" w:type="dxa"/>
          </w:tcPr>
          <w:p w14:paraId="163BF331" w14:textId="77777777" w:rsidR="00E34F79" w:rsidRPr="00235D1E" w:rsidRDefault="00E34F79" w:rsidP="002150C2">
            <w:pPr>
              <w:rPr>
                <w:rFonts w:ascii="Arial" w:hAnsi="Arial" w:cs="Arial"/>
                <w:sz w:val="13"/>
                <w:szCs w:val="9"/>
              </w:rPr>
            </w:pPr>
            <w:r w:rsidRPr="00235D1E">
              <w:rPr>
                <w:rFonts w:ascii="Arial" w:hAnsi="Arial" w:cs="Arial"/>
                <w:sz w:val="13"/>
                <w:szCs w:val="9"/>
              </w:rPr>
              <w:t>Figure 10: DVH dose escalation of case 2, first stage model used.</w:t>
            </w:r>
          </w:p>
        </w:tc>
        <w:tc>
          <w:tcPr>
            <w:tcW w:w="2698" w:type="dxa"/>
          </w:tcPr>
          <w:p w14:paraId="14ED6CF4" w14:textId="77777777" w:rsidR="00E34F79" w:rsidRPr="00235D1E" w:rsidRDefault="00E34F79" w:rsidP="002150C2">
            <w:pPr>
              <w:rPr>
                <w:rFonts w:ascii="Arial" w:hAnsi="Arial" w:cs="Arial"/>
                <w:sz w:val="13"/>
                <w:szCs w:val="9"/>
              </w:rPr>
            </w:pPr>
            <w:r w:rsidRPr="00235D1E">
              <w:rPr>
                <w:rFonts w:ascii="Arial" w:hAnsi="Arial" w:cs="Arial"/>
                <w:sz w:val="13"/>
                <w:szCs w:val="9"/>
              </w:rPr>
              <w:t>Figure 11: DVH dose escalation of case 2, second stage model used.</w:t>
            </w:r>
          </w:p>
        </w:tc>
      </w:tr>
    </w:tbl>
    <w:p w14:paraId="19CCD2B3" w14:textId="77777777" w:rsidR="00E34F79" w:rsidRDefault="00E34F79" w:rsidP="00E34F79">
      <w:pPr>
        <w:rPr>
          <w:rFonts w:ascii="Arial" w:hAnsi="Arial" w:cs="Arial"/>
        </w:rPr>
      </w:pPr>
    </w:p>
    <w:tbl>
      <w:tblPr>
        <w:tblStyle w:val="TableGrid"/>
        <w:tblW w:w="5000" w:type="pct"/>
        <w:jc w:val="center"/>
        <w:tblLook w:val="04A0" w:firstRow="1" w:lastRow="0" w:firstColumn="1" w:lastColumn="0" w:noHBand="0" w:noVBand="1"/>
      </w:tblPr>
      <w:tblGrid>
        <w:gridCol w:w="2159"/>
        <w:gridCol w:w="1727"/>
        <w:gridCol w:w="1726"/>
        <w:gridCol w:w="1726"/>
        <w:gridCol w:w="1726"/>
        <w:gridCol w:w="1726"/>
      </w:tblGrid>
      <w:tr w:rsidR="00E34F79" w14:paraId="383012F3" w14:textId="77777777" w:rsidTr="002150C2">
        <w:trPr>
          <w:jc w:val="center"/>
        </w:trPr>
        <w:tc>
          <w:tcPr>
            <w:tcW w:w="1000" w:type="pct"/>
            <w:vAlign w:val="bottom"/>
          </w:tcPr>
          <w:p w14:paraId="61BBD73F" w14:textId="77777777" w:rsidR="00E34F79" w:rsidRDefault="00E34F79" w:rsidP="002150C2">
            <w:pPr>
              <w:rPr>
                <w:rFonts w:ascii="Arial" w:hAnsi="Arial" w:cs="Arial"/>
              </w:rPr>
            </w:pPr>
            <w:r>
              <w:rPr>
                <w:rFonts w:ascii="Calibri" w:hAnsi="Calibri" w:cs="Calibri"/>
                <w:color w:val="000000"/>
                <w:sz w:val="20"/>
                <w:szCs w:val="20"/>
              </w:rPr>
              <w:t>Treatment time (min)</w:t>
            </w:r>
          </w:p>
        </w:tc>
        <w:tc>
          <w:tcPr>
            <w:tcW w:w="800" w:type="pct"/>
            <w:vAlign w:val="bottom"/>
          </w:tcPr>
          <w:p w14:paraId="7E3D6AE4" w14:textId="77777777" w:rsidR="00E34F79" w:rsidRDefault="00E34F79" w:rsidP="002150C2">
            <w:pPr>
              <w:rPr>
                <w:rFonts w:ascii="Arial" w:hAnsi="Arial" w:cs="Arial"/>
              </w:rPr>
            </w:pPr>
            <w:r>
              <w:rPr>
                <w:rFonts w:ascii="Calibri" w:hAnsi="Calibri" w:cs="Calibri"/>
                <w:color w:val="000000"/>
              </w:rPr>
              <w:t>45.85±13.49</w:t>
            </w:r>
          </w:p>
        </w:tc>
        <w:tc>
          <w:tcPr>
            <w:tcW w:w="800" w:type="pct"/>
            <w:vAlign w:val="bottom"/>
          </w:tcPr>
          <w:p w14:paraId="153AB952" w14:textId="77777777" w:rsidR="00E34F79" w:rsidRDefault="00E34F79" w:rsidP="002150C2">
            <w:pPr>
              <w:rPr>
                <w:rFonts w:ascii="Arial" w:hAnsi="Arial" w:cs="Arial"/>
              </w:rPr>
            </w:pPr>
            <w:r>
              <w:rPr>
                <w:rFonts w:ascii="Calibri" w:hAnsi="Calibri" w:cs="Calibri"/>
                <w:color w:val="000000"/>
              </w:rPr>
              <w:t>37.10±10.66</w:t>
            </w:r>
          </w:p>
        </w:tc>
        <w:tc>
          <w:tcPr>
            <w:tcW w:w="800" w:type="pct"/>
            <w:vAlign w:val="bottom"/>
          </w:tcPr>
          <w:p w14:paraId="08E44872" w14:textId="77777777" w:rsidR="00E34F79" w:rsidRDefault="00E34F79" w:rsidP="002150C2">
            <w:pPr>
              <w:rPr>
                <w:rFonts w:ascii="Arial" w:hAnsi="Arial" w:cs="Arial"/>
              </w:rPr>
            </w:pPr>
            <w:r>
              <w:rPr>
                <w:rFonts w:ascii="Calibri" w:hAnsi="Calibri" w:cs="Calibri"/>
                <w:color w:val="000000"/>
              </w:rPr>
              <w:t>28.14±7.91</w:t>
            </w:r>
          </w:p>
        </w:tc>
        <w:tc>
          <w:tcPr>
            <w:tcW w:w="800" w:type="pct"/>
            <w:vAlign w:val="bottom"/>
          </w:tcPr>
          <w:p w14:paraId="38BC0618" w14:textId="77777777" w:rsidR="00E34F79" w:rsidRDefault="00E34F79" w:rsidP="002150C2">
            <w:pPr>
              <w:rPr>
                <w:rFonts w:ascii="Arial" w:hAnsi="Arial" w:cs="Arial"/>
              </w:rPr>
            </w:pPr>
            <w:r>
              <w:rPr>
                <w:rFonts w:ascii="Calibri" w:hAnsi="Calibri" w:cs="Calibri"/>
                <w:color w:val="000000"/>
              </w:rPr>
              <w:t>19.02±4.99</w:t>
            </w:r>
          </w:p>
        </w:tc>
        <w:tc>
          <w:tcPr>
            <w:tcW w:w="800" w:type="pct"/>
            <w:vAlign w:val="bottom"/>
          </w:tcPr>
          <w:p w14:paraId="2042A7E7" w14:textId="77777777" w:rsidR="00E34F79" w:rsidRDefault="00E34F79" w:rsidP="002150C2">
            <w:pPr>
              <w:rPr>
                <w:rFonts w:ascii="Arial" w:hAnsi="Arial" w:cs="Arial"/>
              </w:rPr>
            </w:pPr>
            <w:r>
              <w:rPr>
                <w:rFonts w:ascii="Calibri" w:hAnsi="Calibri" w:cs="Calibri"/>
                <w:color w:val="000000"/>
              </w:rPr>
              <w:t>10.16±2.00</w:t>
            </w:r>
          </w:p>
        </w:tc>
      </w:tr>
      <w:tr w:rsidR="00E34F79" w14:paraId="65B15EB1" w14:textId="77777777" w:rsidTr="002150C2">
        <w:trPr>
          <w:jc w:val="center"/>
        </w:trPr>
        <w:tc>
          <w:tcPr>
            <w:tcW w:w="1000" w:type="pct"/>
            <w:vAlign w:val="bottom"/>
          </w:tcPr>
          <w:p w14:paraId="2753B970" w14:textId="77777777" w:rsidR="00E34F79" w:rsidRDefault="00E34F79" w:rsidP="002150C2">
            <w:pPr>
              <w:rPr>
                <w:rFonts w:ascii="Arial" w:hAnsi="Arial" w:cs="Arial"/>
              </w:rPr>
            </w:pPr>
            <w:r>
              <w:rPr>
                <w:rFonts w:ascii="Calibri" w:hAnsi="Calibri" w:cs="Calibri"/>
                <w:color w:val="000000"/>
                <w:sz w:val="20"/>
                <w:szCs w:val="20"/>
              </w:rPr>
              <w:t>D</w:t>
            </w:r>
            <w:r w:rsidRPr="00CE012E">
              <w:rPr>
                <w:rFonts w:ascii="Calibri" w:hAnsi="Calibri" w:cs="Calibri"/>
                <w:color w:val="000000"/>
                <w:sz w:val="20"/>
                <w:szCs w:val="20"/>
                <w:vertAlign w:val="subscript"/>
              </w:rPr>
              <w:t>90</w:t>
            </w:r>
            <w:r>
              <w:rPr>
                <w:rFonts w:ascii="Calibri" w:hAnsi="Calibri" w:cs="Calibri"/>
                <w:color w:val="000000"/>
                <w:sz w:val="20"/>
                <w:szCs w:val="20"/>
              </w:rPr>
              <w:t xml:space="preserve"> (</w:t>
            </w:r>
            <w:proofErr w:type="spellStart"/>
            <w:r>
              <w:rPr>
                <w:rFonts w:ascii="Calibri" w:hAnsi="Calibri" w:cs="Calibri"/>
                <w:color w:val="000000"/>
                <w:sz w:val="20"/>
                <w:szCs w:val="20"/>
              </w:rPr>
              <w:t>Gy</w:t>
            </w:r>
            <w:proofErr w:type="spellEnd"/>
            <w:r>
              <w:rPr>
                <w:rFonts w:ascii="Calibri" w:hAnsi="Calibri" w:cs="Calibri"/>
                <w:color w:val="000000"/>
                <w:sz w:val="20"/>
                <w:szCs w:val="20"/>
              </w:rPr>
              <w:t>)</w:t>
            </w:r>
          </w:p>
        </w:tc>
        <w:tc>
          <w:tcPr>
            <w:tcW w:w="800" w:type="pct"/>
            <w:vAlign w:val="bottom"/>
          </w:tcPr>
          <w:p w14:paraId="51FDCA43" w14:textId="77777777" w:rsidR="00E34F79" w:rsidRDefault="00E34F79" w:rsidP="002150C2">
            <w:pPr>
              <w:rPr>
                <w:rFonts w:ascii="Arial" w:hAnsi="Arial" w:cs="Arial"/>
              </w:rPr>
            </w:pPr>
            <w:r>
              <w:rPr>
                <w:rFonts w:ascii="Calibri" w:hAnsi="Calibri" w:cs="Calibri"/>
                <w:color w:val="000000"/>
              </w:rPr>
              <w:t>88.12±8.19</w:t>
            </w:r>
          </w:p>
        </w:tc>
        <w:tc>
          <w:tcPr>
            <w:tcW w:w="800" w:type="pct"/>
            <w:vAlign w:val="bottom"/>
          </w:tcPr>
          <w:p w14:paraId="10455E9C" w14:textId="77777777" w:rsidR="00E34F79" w:rsidRDefault="00E34F79" w:rsidP="002150C2">
            <w:pPr>
              <w:rPr>
                <w:rFonts w:ascii="Arial" w:hAnsi="Arial" w:cs="Arial"/>
              </w:rPr>
            </w:pPr>
            <w:r>
              <w:rPr>
                <w:rFonts w:ascii="Calibri" w:hAnsi="Calibri" w:cs="Calibri"/>
                <w:color w:val="000000"/>
              </w:rPr>
              <w:t>86.10±6.18</w:t>
            </w:r>
          </w:p>
        </w:tc>
        <w:tc>
          <w:tcPr>
            <w:tcW w:w="800" w:type="pct"/>
            <w:vAlign w:val="bottom"/>
          </w:tcPr>
          <w:p w14:paraId="504B3A39" w14:textId="77777777" w:rsidR="00E34F79" w:rsidRDefault="00E34F79" w:rsidP="002150C2">
            <w:pPr>
              <w:rPr>
                <w:rFonts w:ascii="Arial" w:hAnsi="Arial" w:cs="Arial"/>
              </w:rPr>
            </w:pPr>
            <w:r>
              <w:rPr>
                <w:rFonts w:ascii="Calibri" w:hAnsi="Calibri" w:cs="Calibri"/>
                <w:color w:val="000000"/>
              </w:rPr>
              <w:t>81.98±6.79</w:t>
            </w:r>
          </w:p>
        </w:tc>
        <w:tc>
          <w:tcPr>
            <w:tcW w:w="800" w:type="pct"/>
            <w:vAlign w:val="bottom"/>
          </w:tcPr>
          <w:p w14:paraId="71057558" w14:textId="77777777" w:rsidR="00E34F79" w:rsidRDefault="00E34F79" w:rsidP="002150C2">
            <w:pPr>
              <w:rPr>
                <w:rFonts w:ascii="Arial" w:hAnsi="Arial" w:cs="Arial"/>
              </w:rPr>
            </w:pPr>
            <w:r>
              <w:rPr>
                <w:rFonts w:ascii="Calibri" w:hAnsi="Calibri" w:cs="Calibri"/>
                <w:color w:val="000000"/>
              </w:rPr>
              <w:t>75.20±8.75</w:t>
            </w:r>
          </w:p>
        </w:tc>
        <w:tc>
          <w:tcPr>
            <w:tcW w:w="800" w:type="pct"/>
            <w:vAlign w:val="bottom"/>
          </w:tcPr>
          <w:p w14:paraId="7973AC99" w14:textId="77777777" w:rsidR="00E34F79" w:rsidRDefault="00E34F79" w:rsidP="002150C2">
            <w:pPr>
              <w:rPr>
                <w:rFonts w:ascii="Arial" w:hAnsi="Arial" w:cs="Arial"/>
              </w:rPr>
            </w:pPr>
            <w:r>
              <w:rPr>
                <w:rFonts w:ascii="Calibri" w:hAnsi="Calibri" w:cs="Calibri"/>
                <w:color w:val="000000"/>
              </w:rPr>
              <w:t>64.14±10.50</w:t>
            </w:r>
          </w:p>
        </w:tc>
      </w:tr>
      <w:tr w:rsidR="00E34F79" w14:paraId="1CA7A96F" w14:textId="77777777" w:rsidTr="002150C2">
        <w:trPr>
          <w:jc w:val="center"/>
        </w:trPr>
        <w:tc>
          <w:tcPr>
            <w:tcW w:w="1000" w:type="pct"/>
            <w:vAlign w:val="bottom"/>
          </w:tcPr>
          <w:p w14:paraId="608AA8E8" w14:textId="77777777" w:rsidR="00E34F79" w:rsidRDefault="00E34F79" w:rsidP="002150C2">
            <w:pPr>
              <w:rPr>
                <w:rFonts w:ascii="Arial" w:hAnsi="Arial" w:cs="Arial"/>
              </w:rPr>
            </w:pPr>
            <w:r>
              <w:rPr>
                <w:rFonts w:ascii="Calibri" w:hAnsi="Calibri" w:cs="Calibri"/>
                <w:color w:val="000000"/>
                <w:sz w:val="20"/>
                <w:szCs w:val="20"/>
              </w:rPr>
              <w:t>D</w:t>
            </w:r>
            <w:r w:rsidRPr="00CE012E">
              <w:rPr>
                <w:rFonts w:ascii="Calibri" w:hAnsi="Calibri" w:cs="Calibri"/>
                <w:color w:val="000000"/>
                <w:sz w:val="20"/>
                <w:szCs w:val="20"/>
                <w:vertAlign w:val="subscript"/>
              </w:rPr>
              <w:t>100</w:t>
            </w:r>
            <w:r>
              <w:rPr>
                <w:rFonts w:ascii="Calibri" w:hAnsi="Calibri" w:cs="Calibri"/>
                <w:color w:val="000000"/>
                <w:sz w:val="20"/>
                <w:szCs w:val="20"/>
              </w:rPr>
              <w:t xml:space="preserve"> (</w:t>
            </w:r>
            <w:proofErr w:type="spellStart"/>
            <w:r>
              <w:rPr>
                <w:rFonts w:ascii="Calibri" w:hAnsi="Calibri" w:cs="Calibri"/>
                <w:color w:val="000000"/>
                <w:sz w:val="20"/>
                <w:szCs w:val="20"/>
              </w:rPr>
              <w:t>Gy</w:t>
            </w:r>
            <w:proofErr w:type="spellEnd"/>
            <w:r>
              <w:rPr>
                <w:rFonts w:ascii="Calibri" w:hAnsi="Calibri" w:cs="Calibri"/>
                <w:color w:val="000000"/>
                <w:sz w:val="20"/>
                <w:szCs w:val="20"/>
              </w:rPr>
              <w:t>)</w:t>
            </w:r>
          </w:p>
        </w:tc>
        <w:tc>
          <w:tcPr>
            <w:tcW w:w="800" w:type="pct"/>
            <w:vAlign w:val="bottom"/>
          </w:tcPr>
          <w:p w14:paraId="427EA8BE" w14:textId="77777777" w:rsidR="00E34F79" w:rsidRDefault="00E34F79" w:rsidP="002150C2">
            <w:pPr>
              <w:rPr>
                <w:rFonts w:ascii="Arial" w:hAnsi="Arial" w:cs="Arial"/>
              </w:rPr>
            </w:pPr>
            <w:r>
              <w:rPr>
                <w:rFonts w:ascii="Calibri" w:hAnsi="Calibri" w:cs="Calibri"/>
                <w:color w:val="000000"/>
              </w:rPr>
              <w:t>67.13±7.14</w:t>
            </w:r>
          </w:p>
        </w:tc>
        <w:tc>
          <w:tcPr>
            <w:tcW w:w="800" w:type="pct"/>
            <w:vAlign w:val="bottom"/>
          </w:tcPr>
          <w:p w14:paraId="101C6069" w14:textId="77777777" w:rsidR="00E34F79" w:rsidRDefault="00E34F79" w:rsidP="002150C2">
            <w:pPr>
              <w:rPr>
                <w:rFonts w:ascii="Arial" w:hAnsi="Arial" w:cs="Arial"/>
              </w:rPr>
            </w:pPr>
            <w:r>
              <w:rPr>
                <w:rFonts w:ascii="Calibri" w:hAnsi="Calibri" w:cs="Calibri"/>
                <w:color w:val="000000"/>
              </w:rPr>
              <w:t>64.46±6</w:t>
            </w:r>
            <w:r>
              <w:rPr>
                <w:rFonts w:ascii="Calibri" w:hAnsi="Calibri" w:cs="Calibri" w:hint="eastAsia"/>
                <w:color w:val="000000"/>
              </w:rPr>
              <w:t>.</w:t>
            </w:r>
            <w:r>
              <w:rPr>
                <w:rFonts w:ascii="Calibri" w:hAnsi="Calibri" w:cs="Calibri"/>
                <w:color w:val="000000"/>
              </w:rPr>
              <w:t>04</w:t>
            </w:r>
          </w:p>
        </w:tc>
        <w:tc>
          <w:tcPr>
            <w:tcW w:w="800" w:type="pct"/>
            <w:vAlign w:val="bottom"/>
          </w:tcPr>
          <w:p w14:paraId="2BAB5863" w14:textId="77777777" w:rsidR="00E34F79" w:rsidRDefault="00E34F79" w:rsidP="002150C2">
            <w:pPr>
              <w:rPr>
                <w:rFonts w:ascii="Arial" w:hAnsi="Arial" w:cs="Arial"/>
              </w:rPr>
            </w:pPr>
            <w:r>
              <w:rPr>
                <w:rFonts w:ascii="Calibri" w:hAnsi="Calibri" w:cs="Calibri"/>
                <w:color w:val="000000"/>
              </w:rPr>
              <w:t>60.52±5.39</w:t>
            </w:r>
          </w:p>
        </w:tc>
        <w:tc>
          <w:tcPr>
            <w:tcW w:w="800" w:type="pct"/>
            <w:vAlign w:val="bottom"/>
          </w:tcPr>
          <w:p w14:paraId="676AA94D" w14:textId="77777777" w:rsidR="00E34F79" w:rsidRDefault="00E34F79" w:rsidP="002150C2">
            <w:pPr>
              <w:rPr>
                <w:rFonts w:ascii="Arial" w:hAnsi="Arial" w:cs="Arial"/>
              </w:rPr>
            </w:pPr>
            <w:r>
              <w:rPr>
                <w:rFonts w:ascii="Calibri" w:hAnsi="Calibri" w:cs="Calibri"/>
                <w:color w:val="000000"/>
              </w:rPr>
              <w:t>56.58±5.99</w:t>
            </w:r>
          </w:p>
        </w:tc>
        <w:tc>
          <w:tcPr>
            <w:tcW w:w="800" w:type="pct"/>
            <w:vAlign w:val="bottom"/>
          </w:tcPr>
          <w:p w14:paraId="01EDD8ED" w14:textId="77777777" w:rsidR="00E34F79" w:rsidRDefault="00E34F79" w:rsidP="002150C2">
            <w:pPr>
              <w:rPr>
                <w:rFonts w:ascii="Arial" w:hAnsi="Arial" w:cs="Arial"/>
              </w:rPr>
            </w:pPr>
            <w:r>
              <w:rPr>
                <w:rFonts w:ascii="Calibri" w:hAnsi="Calibri" w:cs="Calibri"/>
                <w:color w:val="000000"/>
              </w:rPr>
              <w:t>52.41±6.41</w:t>
            </w:r>
          </w:p>
        </w:tc>
      </w:tr>
      <w:tr w:rsidR="00E34F79" w14:paraId="0EFCCA33" w14:textId="77777777" w:rsidTr="002150C2">
        <w:trPr>
          <w:jc w:val="center"/>
        </w:trPr>
        <w:tc>
          <w:tcPr>
            <w:tcW w:w="1000" w:type="pct"/>
            <w:vAlign w:val="bottom"/>
          </w:tcPr>
          <w:p w14:paraId="671BB6AE" w14:textId="77777777" w:rsidR="00E34F79" w:rsidRDefault="00E34F79" w:rsidP="002150C2">
            <w:pPr>
              <w:rPr>
                <w:rFonts w:ascii="Arial" w:hAnsi="Arial" w:cs="Arial"/>
              </w:rPr>
            </w:pPr>
            <w:r>
              <w:rPr>
                <w:rFonts w:ascii="Calibri" w:hAnsi="Calibri" w:cs="Calibri"/>
                <w:color w:val="000000"/>
                <w:sz w:val="20"/>
                <w:szCs w:val="20"/>
              </w:rPr>
              <w:t>D</w:t>
            </w:r>
            <w:r w:rsidRPr="00CE012E">
              <w:rPr>
                <w:rFonts w:ascii="Calibri" w:hAnsi="Calibri" w:cs="Calibri"/>
                <w:color w:val="000000"/>
                <w:sz w:val="20"/>
                <w:szCs w:val="20"/>
                <w:vertAlign w:val="subscript"/>
              </w:rPr>
              <w:t>2cc</w:t>
            </w:r>
            <w:r>
              <w:rPr>
                <w:rFonts w:ascii="Calibri" w:hAnsi="Calibri" w:cs="Calibri"/>
                <w:color w:val="000000"/>
                <w:sz w:val="20"/>
                <w:szCs w:val="20"/>
              </w:rPr>
              <w:t xml:space="preserve"> bladder (</w:t>
            </w:r>
            <w:proofErr w:type="spellStart"/>
            <w:r>
              <w:rPr>
                <w:rFonts w:ascii="Calibri" w:hAnsi="Calibri" w:cs="Calibri"/>
                <w:color w:val="000000"/>
                <w:sz w:val="20"/>
                <w:szCs w:val="20"/>
              </w:rPr>
              <w:t>Gy</w:t>
            </w:r>
            <w:proofErr w:type="spellEnd"/>
            <w:r>
              <w:rPr>
                <w:rFonts w:ascii="Calibri" w:hAnsi="Calibri" w:cs="Calibri"/>
                <w:color w:val="000000"/>
                <w:sz w:val="20"/>
                <w:szCs w:val="20"/>
              </w:rPr>
              <w:t>)</w:t>
            </w:r>
          </w:p>
        </w:tc>
        <w:tc>
          <w:tcPr>
            <w:tcW w:w="800" w:type="pct"/>
            <w:vAlign w:val="bottom"/>
          </w:tcPr>
          <w:p w14:paraId="2D3C1A43" w14:textId="77777777" w:rsidR="00E34F79" w:rsidRDefault="00E34F79" w:rsidP="002150C2">
            <w:pPr>
              <w:rPr>
                <w:rFonts w:ascii="Arial" w:hAnsi="Arial" w:cs="Arial"/>
              </w:rPr>
            </w:pPr>
            <w:r>
              <w:rPr>
                <w:rFonts w:ascii="Calibri" w:hAnsi="Calibri" w:cs="Calibri"/>
                <w:color w:val="000000"/>
              </w:rPr>
              <w:t>81.48±5.87</w:t>
            </w:r>
          </w:p>
        </w:tc>
        <w:tc>
          <w:tcPr>
            <w:tcW w:w="800" w:type="pct"/>
            <w:vAlign w:val="bottom"/>
          </w:tcPr>
          <w:p w14:paraId="75C84923" w14:textId="77777777" w:rsidR="00E34F79" w:rsidRDefault="00E34F79" w:rsidP="002150C2">
            <w:pPr>
              <w:rPr>
                <w:rFonts w:ascii="Arial" w:hAnsi="Arial" w:cs="Arial"/>
              </w:rPr>
            </w:pPr>
            <w:r>
              <w:rPr>
                <w:rFonts w:ascii="Calibri" w:hAnsi="Calibri" w:cs="Calibri"/>
                <w:color w:val="000000"/>
              </w:rPr>
              <w:t>81.29±5.81</w:t>
            </w:r>
          </w:p>
        </w:tc>
        <w:tc>
          <w:tcPr>
            <w:tcW w:w="800" w:type="pct"/>
            <w:vAlign w:val="bottom"/>
          </w:tcPr>
          <w:p w14:paraId="1FAACAE3" w14:textId="77777777" w:rsidR="00E34F79" w:rsidRDefault="00E34F79" w:rsidP="002150C2">
            <w:pPr>
              <w:rPr>
                <w:rFonts w:ascii="Arial" w:hAnsi="Arial" w:cs="Arial"/>
              </w:rPr>
            </w:pPr>
            <w:r>
              <w:rPr>
                <w:rFonts w:ascii="Calibri" w:hAnsi="Calibri" w:cs="Calibri"/>
                <w:color w:val="000000"/>
              </w:rPr>
              <w:t>80.66±5.23</w:t>
            </w:r>
          </w:p>
        </w:tc>
        <w:tc>
          <w:tcPr>
            <w:tcW w:w="800" w:type="pct"/>
            <w:vAlign w:val="bottom"/>
          </w:tcPr>
          <w:p w14:paraId="76363403" w14:textId="77777777" w:rsidR="00E34F79" w:rsidRDefault="00E34F79" w:rsidP="002150C2">
            <w:pPr>
              <w:rPr>
                <w:rFonts w:ascii="Arial" w:hAnsi="Arial" w:cs="Arial"/>
              </w:rPr>
            </w:pPr>
            <w:r>
              <w:rPr>
                <w:rFonts w:ascii="Calibri" w:hAnsi="Calibri" w:cs="Calibri"/>
                <w:color w:val="000000"/>
              </w:rPr>
              <w:t>80.38±5.69</w:t>
            </w:r>
          </w:p>
        </w:tc>
        <w:tc>
          <w:tcPr>
            <w:tcW w:w="800" w:type="pct"/>
            <w:vAlign w:val="bottom"/>
          </w:tcPr>
          <w:p w14:paraId="18765738" w14:textId="77777777" w:rsidR="00E34F79" w:rsidRDefault="00E34F79" w:rsidP="002150C2">
            <w:pPr>
              <w:rPr>
                <w:rFonts w:ascii="Arial" w:hAnsi="Arial" w:cs="Arial"/>
              </w:rPr>
            </w:pPr>
            <w:r>
              <w:rPr>
                <w:rFonts w:ascii="Calibri" w:hAnsi="Calibri" w:cs="Calibri"/>
                <w:color w:val="000000"/>
              </w:rPr>
              <w:t>79.45±8.93</w:t>
            </w:r>
          </w:p>
        </w:tc>
      </w:tr>
      <w:tr w:rsidR="00E34F79" w14:paraId="15F466A5" w14:textId="77777777" w:rsidTr="002150C2">
        <w:trPr>
          <w:jc w:val="center"/>
        </w:trPr>
        <w:tc>
          <w:tcPr>
            <w:tcW w:w="1000" w:type="pct"/>
            <w:vAlign w:val="bottom"/>
          </w:tcPr>
          <w:p w14:paraId="12E5CB9D" w14:textId="77777777" w:rsidR="00E34F79" w:rsidRDefault="00E34F79" w:rsidP="002150C2">
            <w:pPr>
              <w:rPr>
                <w:rFonts w:ascii="Arial" w:hAnsi="Arial" w:cs="Arial"/>
              </w:rPr>
            </w:pPr>
            <w:r>
              <w:rPr>
                <w:rFonts w:ascii="Calibri" w:hAnsi="Calibri" w:cs="Calibri"/>
                <w:color w:val="000000"/>
                <w:sz w:val="20"/>
                <w:szCs w:val="20"/>
              </w:rPr>
              <w:t>D</w:t>
            </w:r>
            <w:r w:rsidRPr="00CE012E">
              <w:rPr>
                <w:rFonts w:ascii="Calibri" w:hAnsi="Calibri" w:cs="Calibri"/>
                <w:color w:val="000000"/>
                <w:sz w:val="20"/>
                <w:szCs w:val="20"/>
                <w:vertAlign w:val="subscript"/>
              </w:rPr>
              <w:t>2cc</w:t>
            </w:r>
            <w:r>
              <w:rPr>
                <w:rFonts w:ascii="Calibri" w:hAnsi="Calibri" w:cs="Calibri"/>
                <w:color w:val="000000"/>
                <w:sz w:val="20"/>
                <w:szCs w:val="20"/>
              </w:rPr>
              <w:t xml:space="preserve"> rectum (</w:t>
            </w:r>
            <w:proofErr w:type="spellStart"/>
            <w:r>
              <w:rPr>
                <w:rFonts w:ascii="Calibri" w:hAnsi="Calibri" w:cs="Calibri"/>
                <w:color w:val="000000"/>
                <w:sz w:val="20"/>
                <w:szCs w:val="20"/>
              </w:rPr>
              <w:t>Gy</w:t>
            </w:r>
            <w:proofErr w:type="spellEnd"/>
            <w:r>
              <w:rPr>
                <w:rFonts w:ascii="Calibri" w:hAnsi="Calibri" w:cs="Calibri"/>
                <w:color w:val="000000"/>
                <w:sz w:val="20"/>
                <w:szCs w:val="20"/>
              </w:rPr>
              <w:t>)</w:t>
            </w:r>
          </w:p>
        </w:tc>
        <w:tc>
          <w:tcPr>
            <w:tcW w:w="800" w:type="pct"/>
            <w:vAlign w:val="bottom"/>
          </w:tcPr>
          <w:p w14:paraId="14C10BA6" w14:textId="77777777" w:rsidR="00E34F79" w:rsidRDefault="00E34F79" w:rsidP="002150C2">
            <w:pPr>
              <w:rPr>
                <w:rFonts w:ascii="Arial" w:hAnsi="Arial" w:cs="Arial"/>
              </w:rPr>
            </w:pPr>
            <w:r>
              <w:rPr>
                <w:rFonts w:ascii="Calibri" w:hAnsi="Calibri" w:cs="Calibri"/>
                <w:color w:val="000000"/>
              </w:rPr>
              <w:t>70.28±6.69</w:t>
            </w:r>
          </w:p>
        </w:tc>
        <w:tc>
          <w:tcPr>
            <w:tcW w:w="800" w:type="pct"/>
            <w:vAlign w:val="bottom"/>
          </w:tcPr>
          <w:p w14:paraId="4CE888F7" w14:textId="77777777" w:rsidR="00E34F79" w:rsidRDefault="00E34F79" w:rsidP="002150C2">
            <w:pPr>
              <w:rPr>
                <w:rFonts w:ascii="Arial" w:hAnsi="Arial" w:cs="Arial"/>
              </w:rPr>
            </w:pPr>
            <w:r>
              <w:rPr>
                <w:rFonts w:ascii="Calibri" w:hAnsi="Calibri" w:cs="Calibri"/>
                <w:color w:val="000000"/>
              </w:rPr>
              <w:t>71.67±5.86</w:t>
            </w:r>
          </w:p>
        </w:tc>
        <w:tc>
          <w:tcPr>
            <w:tcW w:w="800" w:type="pct"/>
            <w:vAlign w:val="bottom"/>
          </w:tcPr>
          <w:p w14:paraId="0FDB4546" w14:textId="77777777" w:rsidR="00E34F79" w:rsidRDefault="00E34F79" w:rsidP="002150C2">
            <w:pPr>
              <w:rPr>
                <w:rFonts w:ascii="Arial" w:hAnsi="Arial" w:cs="Arial"/>
              </w:rPr>
            </w:pPr>
            <w:r>
              <w:rPr>
                <w:rFonts w:ascii="Calibri" w:hAnsi="Calibri" w:cs="Calibri"/>
                <w:color w:val="000000"/>
              </w:rPr>
              <w:t>72.90±4.69</w:t>
            </w:r>
          </w:p>
        </w:tc>
        <w:tc>
          <w:tcPr>
            <w:tcW w:w="800" w:type="pct"/>
            <w:vAlign w:val="bottom"/>
          </w:tcPr>
          <w:p w14:paraId="69FD443A" w14:textId="77777777" w:rsidR="00E34F79" w:rsidRDefault="00E34F79" w:rsidP="002150C2">
            <w:pPr>
              <w:rPr>
                <w:rFonts w:ascii="Arial" w:hAnsi="Arial" w:cs="Arial"/>
              </w:rPr>
            </w:pPr>
            <w:r>
              <w:rPr>
                <w:rFonts w:ascii="Calibri" w:hAnsi="Calibri" w:cs="Calibri"/>
                <w:color w:val="000000"/>
              </w:rPr>
              <w:t>73.91±2.44</w:t>
            </w:r>
          </w:p>
        </w:tc>
        <w:tc>
          <w:tcPr>
            <w:tcW w:w="800" w:type="pct"/>
            <w:vAlign w:val="bottom"/>
          </w:tcPr>
          <w:p w14:paraId="342F4EF2" w14:textId="77777777" w:rsidR="00E34F79" w:rsidRDefault="00E34F79" w:rsidP="002150C2">
            <w:pPr>
              <w:rPr>
                <w:rFonts w:ascii="Arial" w:hAnsi="Arial" w:cs="Arial"/>
              </w:rPr>
            </w:pPr>
            <w:r>
              <w:rPr>
                <w:rFonts w:ascii="Calibri" w:hAnsi="Calibri" w:cs="Calibri"/>
                <w:color w:val="000000"/>
              </w:rPr>
              <w:t>73.27±3.86</w:t>
            </w:r>
          </w:p>
        </w:tc>
      </w:tr>
      <w:tr w:rsidR="00E34F79" w14:paraId="107F05B3" w14:textId="77777777" w:rsidTr="002150C2">
        <w:trPr>
          <w:jc w:val="center"/>
        </w:trPr>
        <w:tc>
          <w:tcPr>
            <w:tcW w:w="1000" w:type="pct"/>
            <w:vAlign w:val="bottom"/>
          </w:tcPr>
          <w:p w14:paraId="5C127B6A" w14:textId="77777777" w:rsidR="00E34F79" w:rsidRDefault="00E34F79" w:rsidP="002150C2">
            <w:pPr>
              <w:rPr>
                <w:rFonts w:ascii="Arial" w:hAnsi="Arial" w:cs="Arial"/>
              </w:rPr>
            </w:pPr>
            <w:r>
              <w:rPr>
                <w:rFonts w:ascii="Calibri" w:hAnsi="Calibri" w:cs="Calibri"/>
                <w:color w:val="000000"/>
                <w:sz w:val="20"/>
                <w:szCs w:val="20"/>
              </w:rPr>
              <w:t>D</w:t>
            </w:r>
            <w:r w:rsidRPr="00CE012E">
              <w:rPr>
                <w:rFonts w:ascii="Calibri" w:hAnsi="Calibri" w:cs="Calibri"/>
                <w:color w:val="000000"/>
                <w:sz w:val="20"/>
                <w:szCs w:val="20"/>
                <w:vertAlign w:val="subscript"/>
              </w:rPr>
              <w:t>2cc</w:t>
            </w:r>
            <w:r>
              <w:rPr>
                <w:rFonts w:ascii="Calibri" w:hAnsi="Calibri" w:cs="Calibri"/>
                <w:color w:val="000000"/>
                <w:sz w:val="20"/>
                <w:szCs w:val="20"/>
              </w:rPr>
              <w:t xml:space="preserve"> sigmoid (</w:t>
            </w:r>
            <w:proofErr w:type="spellStart"/>
            <w:r>
              <w:rPr>
                <w:rFonts w:ascii="Calibri" w:hAnsi="Calibri" w:cs="Calibri"/>
                <w:color w:val="000000"/>
                <w:sz w:val="20"/>
                <w:szCs w:val="20"/>
              </w:rPr>
              <w:t>Gy</w:t>
            </w:r>
            <w:proofErr w:type="spellEnd"/>
            <w:r>
              <w:rPr>
                <w:rFonts w:ascii="Calibri" w:hAnsi="Calibri" w:cs="Calibri"/>
                <w:color w:val="000000"/>
                <w:sz w:val="20"/>
                <w:szCs w:val="20"/>
              </w:rPr>
              <w:t>)</w:t>
            </w:r>
          </w:p>
        </w:tc>
        <w:tc>
          <w:tcPr>
            <w:tcW w:w="800" w:type="pct"/>
            <w:vAlign w:val="bottom"/>
          </w:tcPr>
          <w:p w14:paraId="4C15898B" w14:textId="77777777" w:rsidR="00E34F79" w:rsidRDefault="00E34F79" w:rsidP="002150C2">
            <w:pPr>
              <w:rPr>
                <w:rFonts w:ascii="Arial" w:hAnsi="Arial" w:cs="Arial"/>
              </w:rPr>
            </w:pPr>
            <w:r>
              <w:rPr>
                <w:rFonts w:ascii="Calibri" w:hAnsi="Calibri" w:cs="Calibri"/>
                <w:color w:val="000000"/>
              </w:rPr>
              <w:t>67.47±5.83</w:t>
            </w:r>
          </w:p>
        </w:tc>
        <w:tc>
          <w:tcPr>
            <w:tcW w:w="800" w:type="pct"/>
            <w:vAlign w:val="bottom"/>
          </w:tcPr>
          <w:p w14:paraId="714A72E2" w14:textId="77777777" w:rsidR="00E34F79" w:rsidRDefault="00E34F79" w:rsidP="002150C2">
            <w:pPr>
              <w:rPr>
                <w:rFonts w:ascii="Arial" w:hAnsi="Arial" w:cs="Arial"/>
              </w:rPr>
            </w:pPr>
            <w:r>
              <w:rPr>
                <w:rFonts w:ascii="Calibri" w:hAnsi="Calibri" w:cs="Calibri"/>
                <w:color w:val="000000"/>
              </w:rPr>
              <w:t>65.99±6.85</w:t>
            </w:r>
          </w:p>
        </w:tc>
        <w:tc>
          <w:tcPr>
            <w:tcW w:w="800" w:type="pct"/>
            <w:vAlign w:val="bottom"/>
          </w:tcPr>
          <w:p w14:paraId="50263CB0" w14:textId="77777777" w:rsidR="00E34F79" w:rsidRDefault="00E34F79" w:rsidP="002150C2">
            <w:pPr>
              <w:rPr>
                <w:rFonts w:ascii="Arial" w:hAnsi="Arial" w:cs="Arial"/>
              </w:rPr>
            </w:pPr>
            <w:r>
              <w:rPr>
                <w:rFonts w:ascii="Calibri" w:hAnsi="Calibri" w:cs="Calibri"/>
                <w:color w:val="000000"/>
              </w:rPr>
              <w:t>63.86±7.68</w:t>
            </w:r>
          </w:p>
        </w:tc>
        <w:tc>
          <w:tcPr>
            <w:tcW w:w="800" w:type="pct"/>
            <w:vAlign w:val="bottom"/>
          </w:tcPr>
          <w:p w14:paraId="65F31E0D" w14:textId="77777777" w:rsidR="00E34F79" w:rsidRDefault="00E34F79" w:rsidP="002150C2">
            <w:pPr>
              <w:rPr>
                <w:rFonts w:ascii="Arial" w:hAnsi="Arial" w:cs="Arial"/>
              </w:rPr>
            </w:pPr>
            <w:r>
              <w:rPr>
                <w:rFonts w:ascii="Calibri" w:hAnsi="Calibri" w:cs="Calibri"/>
                <w:color w:val="000000"/>
              </w:rPr>
              <w:t>61.23±9.15</w:t>
            </w:r>
          </w:p>
        </w:tc>
        <w:tc>
          <w:tcPr>
            <w:tcW w:w="800" w:type="pct"/>
            <w:vAlign w:val="bottom"/>
          </w:tcPr>
          <w:p w14:paraId="3AD4CB10" w14:textId="77777777" w:rsidR="00E34F79" w:rsidRDefault="00E34F79" w:rsidP="002150C2">
            <w:pPr>
              <w:rPr>
                <w:rFonts w:ascii="Arial" w:hAnsi="Arial" w:cs="Arial"/>
              </w:rPr>
            </w:pPr>
            <w:r>
              <w:rPr>
                <w:rFonts w:ascii="Calibri" w:hAnsi="Calibri" w:cs="Calibri"/>
                <w:color w:val="000000"/>
              </w:rPr>
              <w:t>58.30±9.02</w:t>
            </w:r>
          </w:p>
        </w:tc>
      </w:tr>
      <w:tr w:rsidR="00E34F79" w14:paraId="4AFFAAB8" w14:textId="77777777" w:rsidTr="002150C2">
        <w:trPr>
          <w:jc w:val="center"/>
        </w:trPr>
        <w:tc>
          <w:tcPr>
            <w:tcW w:w="800" w:type="pct"/>
            <w:gridSpan w:val="6"/>
          </w:tcPr>
          <w:p w14:paraId="740A522E" w14:textId="77777777" w:rsidR="00E34F79" w:rsidRDefault="00E34F79" w:rsidP="002150C2">
            <w:pPr>
              <w:jc w:val="both"/>
              <w:rPr>
                <w:rFonts w:ascii="Arial" w:hAnsi="Arial" w:cs="Arial"/>
              </w:rPr>
            </w:pPr>
            <w:r>
              <w:rPr>
                <w:rFonts w:ascii="Arial" w:hAnsi="Arial" w:cs="Arial"/>
              </w:rPr>
              <w:t>Table 1: Average performance over 5 patient cases. Different trials have different delivery time budget.</w:t>
            </w:r>
          </w:p>
        </w:tc>
      </w:tr>
    </w:tbl>
    <w:p w14:paraId="4D451FFF" w14:textId="77777777" w:rsidR="00E34F79" w:rsidRPr="00890FEA" w:rsidRDefault="00E34F79" w:rsidP="00E34F79">
      <w:pPr>
        <w:rPr>
          <w:rFonts w:ascii="Arial" w:hAnsi="Arial" w:cs="Arial"/>
        </w:rPr>
      </w:pPr>
    </w:p>
    <w:p w14:paraId="76C67BA4" w14:textId="77777777" w:rsidR="00E34F79" w:rsidRDefault="00E34F79" w:rsidP="00E34F79"/>
    <w:p w14:paraId="378246C1" w14:textId="77777777" w:rsidR="00E34F79" w:rsidRDefault="00E34F79" w:rsidP="00E34F79"/>
    <w:p w14:paraId="114737DE" w14:textId="77777777" w:rsidR="007008D8" w:rsidRDefault="007008D8"/>
    <w:sectPr w:rsidR="007008D8" w:rsidSect="00E34F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F79"/>
    <w:rsid w:val="007008D8"/>
    <w:rsid w:val="00E34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818B26"/>
  <w15:chartTrackingRefBased/>
  <w15:docId w15:val="{EC435DFE-54B9-A642-84EC-D644F553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F7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F7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Jirong</dc:creator>
  <cp:keywords/>
  <dc:description/>
  <cp:lastModifiedBy>Yi Jirong</cp:lastModifiedBy>
  <cp:revision>1</cp:revision>
  <dcterms:created xsi:type="dcterms:W3CDTF">2021-02-06T19:35:00Z</dcterms:created>
  <dcterms:modified xsi:type="dcterms:W3CDTF">2021-02-06T19:37:00Z</dcterms:modified>
</cp:coreProperties>
</file>