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7D31" w14:textId="1BC3F2BA" w:rsidR="006240EC" w:rsidRDefault="006C70B5">
      <w:pPr>
        <w:rPr>
          <w:rFonts w:ascii="Arial" w:hAnsi="Arial" w:cs="Arial"/>
        </w:rPr>
      </w:pPr>
      <w:r w:rsidRPr="00991840">
        <w:rPr>
          <w:rFonts w:ascii="Arial" w:hAnsi="Arial" w:cs="Arial"/>
          <w:b/>
        </w:rPr>
        <w:t>Innovation</w:t>
      </w:r>
      <w:r>
        <w:rPr>
          <w:rFonts w:ascii="Arial" w:hAnsi="Arial" w:cs="Arial"/>
        </w:rPr>
        <w:t>:</w:t>
      </w:r>
      <w:r w:rsidR="001F71AB">
        <w:rPr>
          <w:rFonts w:ascii="Arial" w:hAnsi="Arial" w:cs="Arial"/>
        </w:rPr>
        <w:t xml:space="preserve"> The novelties of this study include: 1) </w:t>
      </w:r>
      <w:r w:rsidR="00622C5F">
        <w:rPr>
          <w:rFonts w:ascii="Arial" w:hAnsi="Arial" w:cs="Arial"/>
        </w:rPr>
        <w:t>we</w:t>
      </w:r>
      <w:r w:rsidR="001F71AB">
        <w:rPr>
          <w:rFonts w:ascii="Arial" w:hAnsi="Arial" w:cs="Arial"/>
        </w:rPr>
        <w:t xml:space="preserve"> consider explicitly the delivery time budget</w:t>
      </w:r>
      <w:r w:rsidR="007C47E5">
        <w:rPr>
          <w:rFonts w:ascii="Arial" w:hAnsi="Arial" w:cs="Arial"/>
        </w:rPr>
        <w:t xml:space="preserve"> and find </w:t>
      </w:r>
      <w:r w:rsidR="009A7B2D">
        <w:rPr>
          <w:rFonts w:ascii="Arial" w:hAnsi="Arial" w:cs="Arial"/>
        </w:rPr>
        <w:t>an</w:t>
      </w:r>
      <w:r w:rsidR="007C47E5">
        <w:rPr>
          <w:rFonts w:ascii="Arial" w:hAnsi="Arial" w:cs="Arial"/>
        </w:rPr>
        <w:t xml:space="preserve"> </w:t>
      </w:r>
      <w:r w:rsidR="002A03C5">
        <w:rPr>
          <w:rFonts w:ascii="Arial" w:hAnsi="Arial" w:cs="Arial"/>
        </w:rPr>
        <w:t xml:space="preserve">optimized treatment </w:t>
      </w:r>
      <w:r w:rsidR="008B4CD1">
        <w:rPr>
          <w:rFonts w:ascii="Arial" w:hAnsi="Arial" w:cs="Arial"/>
        </w:rPr>
        <w:t>plan</w:t>
      </w:r>
      <w:r w:rsidR="002A03C5">
        <w:rPr>
          <w:rFonts w:ascii="Arial" w:hAnsi="Arial" w:cs="Arial"/>
        </w:rPr>
        <w:t xml:space="preserve"> under </w:t>
      </w:r>
      <w:r w:rsidR="005F5DCD">
        <w:rPr>
          <w:rFonts w:ascii="Arial" w:hAnsi="Arial" w:cs="Arial"/>
        </w:rPr>
        <w:t>this budget</w:t>
      </w:r>
      <w:r w:rsidR="00587F35">
        <w:rPr>
          <w:rFonts w:ascii="Arial" w:hAnsi="Arial" w:cs="Arial"/>
        </w:rPr>
        <w:t xml:space="preserve"> (first stage planning)</w:t>
      </w:r>
      <w:r w:rsidR="009C3E57">
        <w:rPr>
          <w:rFonts w:ascii="Arial" w:hAnsi="Arial" w:cs="Arial"/>
        </w:rPr>
        <w:t xml:space="preserve">; </w:t>
      </w:r>
      <w:r w:rsidR="00CA1AEB">
        <w:rPr>
          <w:rFonts w:ascii="Arial" w:hAnsi="Arial" w:cs="Arial"/>
        </w:rPr>
        <w:t xml:space="preserve">2) </w:t>
      </w:r>
      <w:r w:rsidR="0018513D">
        <w:rPr>
          <w:rFonts w:ascii="Arial" w:hAnsi="Arial" w:cs="Arial"/>
        </w:rPr>
        <w:t xml:space="preserve">We </w:t>
      </w:r>
      <w:r w:rsidR="008B76A4">
        <w:rPr>
          <w:rFonts w:ascii="Arial" w:hAnsi="Arial" w:cs="Arial"/>
        </w:rPr>
        <w:t>further</w:t>
      </w:r>
      <w:r w:rsidR="0018513D">
        <w:rPr>
          <w:rFonts w:ascii="Arial" w:hAnsi="Arial" w:cs="Arial"/>
        </w:rPr>
        <w:t xml:space="preserve"> </w:t>
      </w:r>
      <w:r w:rsidR="006C2B87">
        <w:rPr>
          <w:rFonts w:ascii="Arial" w:hAnsi="Arial" w:cs="Arial"/>
        </w:rPr>
        <w:t xml:space="preserve">introduce a second stage </w:t>
      </w:r>
      <w:r w:rsidR="008B76A4">
        <w:rPr>
          <w:rFonts w:ascii="Arial" w:hAnsi="Arial" w:cs="Arial"/>
        </w:rPr>
        <w:t>planning</w:t>
      </w:r>
      <w:r w:rsidR="00967185">
        <w:rPr>
          <w:rFonts w:ascii="Arial" w:hAnsi="Arial" w:cs="Arial"/>
        </w:rPr>
        <w:t xml:space="preserve"> which is based on the </w:t>
      </w:r>
      <w:r w:rsidR="00710A58">
        <w:rPr>
          <w:rFonts w:ascii="Arial" w:hAnsi="Arial" w:cs="Arial"/>
        </w:rPr>
        <w:t>first stage planning</w:t>
      </w:r>
      <w:r w:rsidR="00967185">
        <w:rPr>
          <w:rFonts w:ascii="Arial" w:hAnsi="Arial" w:cs="Arial"/>
        </w:rPr>
        <w:t>.</w:t>
      </w:r>
      <w:r w:rsidR="004830A6">
        <w:rPr>
          <w:rFonts w:ascii="Arial" w:hAnsi="Arial" w:cs="Arial"/>
        </w:rPr>
        <w:t xml:space="preserve"> When</w:t>
      </w:r>
      <w:r w:rsidR="00B97BAE">
        <w:rPr>
          <w:rFonts w:ascii="Arial" w:hAnsi="Arial" w:cs="Arial"/>
        </w:rPr>
        <w:t xml:space="preserve"> </w:t>
      </w:r>
      <w:r w:rsidR="00B07A10">
        <w:rPr>
          <w:rFonts w:ascii="Arial" w:hAnsi="Arial" w:cs="Arial"/>
        </w:rPr>
        <w:t xml:space="preserve">the first </w:t>
      </w:r>
      <w:r w:rsidR="00133DE9">
        <w:rPr>
          <w:rFonts w:ascii="Arial" w:hAnsi="Arial" w:cs="Arial"/>
        </w:rPr>
        <w:t>stage planning</w:t>
      </w:r>
      <w:r w:rsidR="00B07A10">
        <w:rPr>
          <w:rFonts w:ascii="Arial" w:hAnsi="Arial" w:cs="Arial"/>
        </w:rPr>
        <w:t xml:space="preserve"> does not find best </w:t>
      </w:r>
      <w:r w:rsidR="009C2760">
        <w:rPr>
          <w:rFonts w:ascii="Arial" w:hAnsi="Arial" w:cs="Arial"/>
        </w:rPr>
        <w:t xml:space="preserve">treatment plan, </w:t>
      </w:r>
      <w:r w:rsidR="00AF7F08">
        <w:rPr>
          <w:rFonts w:ascii="Arial" w:hAnsi="Arial" w:cs="Arial"/>
        </w:rPr>
        <w:t xml:space="preserve">the second stage </w:t>
      </w:r>
      <w:r w:rsidR="00A332EC">
        <w:rPr>
          <w:rFonts w:ascii="Arial" w:hAnsi="Arial" w:cs="Arial"/>
        </w:rPr>
        <w:t>planning</w:t>
      </w:r>
      <w:r w:rsidR="00AF7F08">
        <w:rPr>
          <w:rFonts w:ascii="Arial" w:hAnsi="Arial" w:cs="Arial"/>
        </w:rPr>
        <w:t xml:space="preserve"> can </w:t>
      </w:r>
      <w:r w:rsidR="00CF0A74">
        <w:rPr>
          <w:rFonts w:ascii="Arial" w:hAnsi="Arial" w:cs="Arial"/>
        </w:rPr>
        <w:t>find one closer to the best treatment plan</w:t>
      </w:r>
      <w:r w:rsidR="006A00C6">
        <w:rPr>
          <w:rFonts w:ascii="Arial" w:hAnsi="Arial" w:cs="Arial"/>
        </w:rPr>
        <w:t xml:space="preserve">. When the </w:t>
      </w:r>
      <w:r w:rsidR="00F87886">
        <w:rPr>
          <w:rFonts w:ascii="Arial" w:hAnsi="Arial" w:cs="Arial"/>
        </w:rPr>
        <w:t xml:space="preserve">first model finds the best treatment plan, </w:t>
      </w:r>
      <w:r w:rsidR="00200367">
        <w:rPr>
          <w:rFonts w:ascii="Arial" w:hAnsi="Arial" w:cs="Arial"/>
        </w:rPr>
        <w:t xml:space="preserve">the second stage model can </w:t>
      </w:r>
      <w:r w:rsidR="003E5810">
        <w:rPr>
          <w:rFonts w:ascii="Arial" w:hAnsi="Arial" w:cs="Arial"/>
        </w:rPr>
        <w:t>serve as a double</w:t>
      </w:r>
      <w:r w:rsidR="00ED2EE5">
        <w:rPr>
          <w:rFonts w:ascii="Arial" w:hAnsi="Arial" w:cs="Arial" w:hint="eastAsia"/>
        </w:rPr>
        <w:t>-</w:t>
      </w:r>
      <w:r w:rsidR="003E5810">
        <w:rPr>
          <w:rFonts w:ascii="Arial" w:hAnsi="Arial" w:cs="Arial"/>
        </w:rPr>
        <w:t>checking role</w:t>
      </w:r>
      <w:r w:rsidR="00D46117">
        <w:rPr>
          <w:rFonts w:ascii="Arial" w:hAnsi="Arial" w:cs="Arial" w:hint="eastAsia"/>
        </w:rPr>
        <w:t>.</w:t>
      </w:r>
      <w:r w:rsidR="0041393F">
        <w:rPr>
          <w:rFonts w:ascii="Arial" w:hAnsi="Arial" w:cs="Arial"/>
        </w:rPr>
        <w:t xml:space="preserve"> </w:t>
      </w:r>
      <w:r w:rsidR="00967185">
        <w:rPr>
          <w:rFonts w:ascii="Arial" w:hAnsi="Arial" w:cs="Arial"/>
        </w:rPr>
        <w:t xml:space="preserve"> </w:t>
      </w:r>
    </w:p>
    <w:p w14:paraId="279AAE79" w14:textId="23C26C26" w:rsidR="0064599D" w:rsidRDefault="006C70B5">
      <w:pPr>
        <w:rPr>
          <w:rFonts w:ascii="Arial" w:hAnsi="Arial" w:cs="Arial"/>
        </w:rPr>
      </w:pPr>
      <w:r w:rsidRPr="00991840">
        <w:rPr>
          <w:rFonts w:ascii="Arial" w:hAnsi="Arial" w:cs="Arial"/>
          <w:b/>
        </w:rPr>
        <w:t>Key Results</w:t>
      </w:r>
      <w:r>
        <w:rPr>
          <w:rFonts w:ascii="Arial" w:hAnsi="Arial" w:cs="Arial"/>
        </w:rPr>
        <w:t xml:space="preserve">: </w:t>
      </w:r>
      <w:r w:rsidR="00751DB8">
        <w:rPr>
          <w:rFonts w:ascii="Arial" w:hAnsi="Arial" w:cs="Arial"/>
        </w:rPr>
        <w:t>T</w:t>
      </w:r>
      <w:r w:rsidR="008311EB">
        <w:rPr>
          <w:rFonts w:ascii="Arial" w:hAnsi="Arial" w:cs="Arial"/>
        </w:rPr>
        <w:t xml:space="preserve">he experiments are conducted </w:t>
      </w:r>
      <w:r w:rsidR="004A6683">
        <w:rPr>
          <w:rFonts w:ascii="Arial" w:hAnsi="Arial" w:cs="Arial"/>
        </w:rPr>
        <w:t>on 5 patient cases.</w:t>
      </w:r>
      <w:r w:rsidR="00335FA1">
        <w:rPr>
          <w:rFonts w:ascii="Arial" w:hAnsi="Arial" w:cs="Arial"/>
        </w:rPr>
        <w:t xml:space="preserve"> </w:t>
      </w:r>
      <w:r w:rsidR="00CB37F9">
        <w:rPr>
          <w:rFonts w:ascii="Arial" w:hAnsi="Arial" w:cs="Arial"/>
        </w:rPr>
        <w:t xml:space="preserve">The </w:t>
      </w:r>
      <w:r w:rsidR="00CC412D">
        <w:rPr>
          <w:rFonts w:ascii="Arial" w:hAnsi="Arial" w:cs="Arial"/>
        </w:rPr>
        <w:t xml:space="preserve">tradeoff </w:t>
      </w:r>
      <w:r w:rsidR="004A050C">
        <w:rPr>
          <w:rFonts w:ascii="Arial" w:hAnsi="Arial" w:cs="Arial"/>
        </w:rPr>
        <w:t>between delivery time reduction and plan</w:t>
      </w:r>
      <w:r w:rsidR="00472424">
        <w:rPr>
          <w:rFonts w:ascii="Arial" w:hAnsi="Arial" w:cs="Arial"/>
        </w:rPr>
        <w:t xml:space="preserve"> quality</w:t>
      </w:r>
      <w:r w:rsidR="00B24D9C">
        <w:rPr>
          <w:rFonts w:ascii="Arial" w:hAnsi="Arial" w:cs="Arial"/>
        </w:rPr>
        <w:t xml:space="preserve"> is shown in </w:t>
      </w:r>
      <w:r w:rsidR="00335FA1">
        <w:rPr>
          <w:rFonts w:ascii="Arial" w:hAnsi="Arial" w:cs="Arial"/>
        </w:rPr>
        <w:t>Figure 1-</w:t>
      </w:r>
      <w:r w:rsidR="00154537">
        <w:rPr>
          <w:rFonts w:ascii="Arial" w:hAnsi="Arial" w:cs="Arial"/>
        </w:rPr>
        <w:t>2</w:t>
      </w:r>
      <w:r w:rsidR="00335FA1">
        <w:rPr>
          <w:rFonts w:ascii="Arial" w:hAnsi="Arial" w:cs="Arial"/>
        </w:rPr>
        <w:t xml:space="preserve"> </w:t>
      </w:r>
      <w:r w:rsidR="00B24D9C">
        <w:rPr>
          <w:rFonts w:ascii="Arial" w:hAnsi="Arial" w:cs="Arial"/>
        </w:rPr>
        <w:t xml:space="preserve">for the </w:t>
      </w:r>
      <w:r w:rsidR="00154537">
        <w:rPr>
          <w:rFonts w:ascii="Arial" w:hAnsi="Arial" w:cs="Arial"/>
        </w:rPr>
        <w:t xml:space="preserve">case </w:t>
      </w:r>
      <w:r w:rsidR="00E32064">
        <w:rPr>
          <w:rFonts w:ascii="Arial" w:hAnsi="Arial" w:cs="Arial"/>
        </w:rPr>
        <w:t>2</w:t>
      </w:r>
      <w:r w:rsidR="00154537">
        <w:rPr>
          <w:rFonts w:ascii="Arial" w:hAnsi="Arial" w:cs="Arial"/>
        </w:rPr>
        <w:t xml:space="preserve"> and case 5</w:t>
      </w:r>
      <w:r w:rsidR="00B24D9C">
        <w:rPr>
          <w:rFonts w:ascii="Arial" w:hAnsi="Arial" w:cs="Arial"/>
        </w:rPr>
        <w:t xml:space="preserve"> respectively. </w:t>
      </w:r>
      <w:r w:rsidR="00CB272A">
        <w:rPr>
          <w:rFonts w:ascii="Arial" w:hAnsi="Arial" w:cs="Arial"/>
        </w:rPr>
        <w:t xml:space="preserve">In Figure </w:t>
      </w:r>
      <w:r w:rsidR="00417736">
        <w:rPr>
          <w:rFonts w:ascii="Arial" w:hAnsi="Arial" w:cs="Arial"/>
        </w:rPr>
        <w:t>3</w:t>
      </w:r>
      <w:r w:rsidR="00CB272A">
        <w:rPr>
          <w:rFonts w:ascii="Arial" w:hAnsi="Arial" w:cs="Arial"/>
        </w:rPr>
        <w:t xml:space="preserve">, </w:t>
      </w:r>
      <w:r w:rsidR="007102F5">
        <w:rPr>
          <w:rFonts w:ascii="Arial" w:hAnsi="Arial" w:cs="Arial"/>
        </w:rPr>
        <w:t>w</w:t>
      </w:r>
      <w:r w:rsidR="00BE19FC">
        <w:rPr>
          <w:rFonts w:ascii="Arial" w:hAnsi="Arial" w:cs="Arial"/>
        </w:rPr>
        <w:t xml:space="preserve">e demonstrate the </w:t>
      </w:r>
      <w:r w:rsidR="006B7DA0">
        <w:rPr>
          <w:rFonts w:ascii="Arial" w:hAnsi="Arial" w:cs="Arial"/>
        </w:rPr>
        <w:t>D</w:t>
      </w:r>
      <w:r w:rsidR="00A172F1" w:rsidRPr="00A172F1">
        <w:rPr>
          <w:rFonts w:ascii="Arial" w:hAnsi="Arial" w:cs="Arial"/>
          <w:vertAlign w:val="subscript"/>
        </w:rPr>
        <w:t>90</w:t>
      </w:r>
      <w:r w:rsidR="006B7DA0">
        <w:rPr>
          <w:rFonts w:ascii="Arial" w:hAnsi="Arial" w:cs="Arial"/>
        </w:rPr>
        <w:t xml:space="preserve"> improv</w:t>
      </w:r>
      <w:r w:rsidR="004F4610">
        <w:rPr>
          <w:rFonts w:ascii="Arial" w:hAnsi="Arial" w:cs="Arial"/>
        </w:rPr>
        <w:t>e</w:t>
      </w:r>
      <w:r w:rsidR="006B7DA0">
        <w:rPr>
          <w:rFonts w:ascii="Arial" w:hAnsi="Arial" w:cs="Arial"/>
        </w:rPr>
        <w:t>ments</w:t>
      </w:r>
      <w:r w:rsidR="00417736">
        <w:rPr>
          <w:rFonts w:ascii="Arial" w:hAnsi="Arial" w:cs="Arial"/>
        </w:rPr>
        <w:t xml:space="preserve"> for each case with 5 </w:t>
      </w:r>
      <w:r w:rsidR="00276C13">
        <w:rPr>
          <w:rFonts w:ascii="Arial" w:hAnsi="Arial" w:cs="Arial"/>
        </w:rPr>
        <w:t xml:space="preserve">different </w:t>
      </w:r>
      <w:r w:rsidR="00417736">
        <w:rPr>
          <w:rFonts w:ascii="Arial" w:hAnsi="Arial" w:cs="Arial"/>
        </w:rPr>
        <w:t>trial</w:t>
      </w:r>
      <w:r w:rsidR="00464EA6">
        <w:rPr>
          <w:rFonts w:ascii="Arial" w:hAnsi="Arial" w:cs="Arial"/>
        </w:rPr>
        <w:t>s</w:t>
      </w:r>
      <w:r w:rsidR="00161065">
        <w:rPr>
          <w:rFonts w:ascii="Arial" w:hAnsi="Arial" w:cs="Arial"/>
        </w:rPr>
        <w:t xml:space="preserve"> (</w:t>
      </w:r>
      <w:r w:rsidR="002A6983">
        <w:rPr>
          <w:rFonts w:ascii="Arial" w:hAnsi="Arial" w:cs="Arial"/>
        </w:rPr>
        <w:t>the D</w:t>
      </w:r>
      <w:r w:rsidR="002A6983" w:rsidRPr="00A172F1">
        <w:rPr>
          <w:rFonts w:ascii="Arial" w:hAnsi="Arial" w:cs="Arial"/>
          <w:vertAlign w:val="subscript"/>
        </w:rPr>
        <w:t>90</w:t>
      </w:r>
      <w:r w:rsidR="002A6983">
        <w:rPr>
          <w:rFonts w:ascii="Arial" w:hAnsi="Arial" w:cs="Arial"/>
        </w:rPr>
        <w:t xml:space="preserve"> obtained in second stage </w:t>
      </w:r>
      <w:r w:rsidR="003368BC">
        <w:rPr>
          <w:rFonts w:ascii="Arial" w:hAnsi="Arial" w:cs="Arial"/>
        </w:rPr>
        <w:t>planning</w:t>
      </w:r>
      <w:r w:rsidR="002A6983">
        <w:rPr>
          <w:rFonts w:ascii="Arial" w:hAnsi="Arial" w:cs="Arial"/>
        </w:rPr>
        <w:t xml:space="preserve"> minus the D</w:t>
      </w:r>
      <w:r w:rsidR="002A6983" w:rsidRPr="00A172F1">
        <w:rPr>
          <w:rFonts w:ascii="Arial" w:hAnsi="Arial" w:cs="Arial"/>
          <w:vertAlign w:val="subscript"/>
        </w:rPr>
        <w:t>90</w:t>
      </w:r>
      <w:r w:rsidR="002A6983">
        <w:rPr>
          <w:rFonts w:ascii="Arial" w:hAnsi="Arial" w:cs="Arial"/>
        </w:rPr>
        <w:t xml:space="preserve"> obtained in the first stage</w:t>
      </w:r>
      <w:r w:rsidR="00EC69A9">
        <w:rPr>
          <w:rFonts w:ascii="Arial" w:hAnsi="Arial" w:cs="Arial"/>
        </w:rPr>
        <w:t xml:space="preserve"> planning</w:t>
      </w:r>
      <w:r w:rsidR="00161065">
        <w:rPr>
          <w:rFonts w:ascii="Arial" w:hAnsi="Arial" w:cs="Arial"/>
        </w:rPr>
        <w:t>)</w:t>
      </w:r>
      <w:r w:rsidR="00872952">
        <w:rPr>
          <w:rFonts w:ascii="Arial" w:hAnsi="Arial" w:cs="Arial"/>
        </w:rPr>
        <w:t>.</w:t>
      </w:r>
      <w:r w:rsidR="00A84990">
        <w:rPr>
          <w:rFonts w:ascii="Arial" w:hAnsi="Arial" w:cs="Arial"/>
        </w:rPr>
        <w:t xml:space="preserve"> We present the dose map and DVH dose escalation</w:t>
      </w:r>
      <w:r w:rsidR="002C225A">
        <w:rPr>
          <w:rFonts w:ascii="Arial" w:hAnsi="Arial" w:cs="Arial"/>
        </w:rPr>
        <w:t xml:space="preserve"> under different time budgets</w:t>
      </w:r>
      <w:r w:rsidR="00A84990">
        <w:rPr>
          <w:rFonts w:ascii="Arial" w:hAnsi="Arial" w:cs="Arial"/>
        </w:rPr>
        <w:t xml:space="preserve"> for case 1</w:t>
      </w:r>
      <w:r w:rsidR="00891630">
        <w:rPr>
          <w:rFonts w:ascii="Arial" w:hAnsi="Arial" w:cs="Arial"/>
        </w:rPr>
        <w:t xml:space="preserve"> using the first stage </w:t>
      </w:r>
      <w:r w:rsidR="00BB1053">
        <w:rPr>
          <w:rFonts w:ascii="Arial" w:hAnsi="Arial" w:cs="Arial"/>
        </w:rPr>
        <w:t>planning</w:t>
      </w:r>
      <w:r w:rsidR="00731542">
        <w:rPr>
          <w:rFonts w:ascii="Arial" w:hAnsi="Arial" w:cs="Arial"/>
        </w:rPr>
        <w:t xml:space="preserve"> in Figure </w:t>
      </w:r>
      <w:r w:rsidR="00641D0A">
        <w:rPr>
          <w:rFonts w:ascii="Arial" w:hAnsi="Arial" w:cs="Arial"/>
        </w:rPr>
        <w:t>4</w:t>
      </w:r>
      <w:r w:rsidR="00731542">
        <w:rPr>
          <w:rFonts w:ascii="Arial" w:hAnsi="Arial" w:cs="Arial"/>
        </w:rPr>
        <w:t>-</w:t>
      </w:r>
      <w:r w:rsidR="00641D0A">
        <w:rPr>
          <w:rFonts w:ascii="Arial" w:hAnsi="Arial" w:cs="Arial"/>
        </w:rPr>
        <w:t>7</w:t>
      </w:r>
      <w:r w:rsidR="00731542">
        <w:rPr>
          <w:rFonts w:ascii="Arial" w:hAnsi="Arial" w:cs="Arial"/>
        </w:rPr>
        <w:t>.</w:t>
      </w:r>
      <w:r w:rsidR="00F47B93">
        <w:rPr>
          <w:rFonts w:ascii="Arial" w:hAnsi="Arial" w:cs="Arial"/>
        </w:rPr>
        <w:t xml:space="preserve"> We present the dose map and DVH dose escalation </w:t>
      </w:r>
      <w:r w:rsidR="0079284E">
        <w:rPr>
          <w:rFonts w:ascii="Arial" w:hAnsi="Arial" w:cs="Arial"/>
        </w:rPr>
        <w:t xml:space="preserve">for case 2 using </w:t>
      </w:r>
      <w:r w:rsidR="00B23EB4">
        <w:rPr>
          <w:rFonts w:ascii="Arial" w:hAnsi="Arial" w:cs="Arial"/>
        </w:rPr>
        <w:t>first stage</w:t>
      </w:r>
      <w:r w:rsidR="006D4C47">
        <w:rPr>
          <w:rFonts w:ascii="Arial" w:hAnsi="Arial" w:cs="Arial"/>
        </w:rPr>
        <w:t xml:space="preserve"> planning</w:t>
      </w:r>
      <w:r w:rsidR="00B23EB4">
        <w:rPr>
          <w:rFonts w:ascii="Arial" w:hAnsi="Arial" w:cs="Arial"/>
        </w:rPr>
        <w:t xml:space="preserve"> and second stage </w:t>
      </w:r>
      <w:r w:rsidR="00F37AE1">
        <w:rPr>
          <w:rFonts w:ascii="Arial" w:hAnsi="Arial" w:cs="Arial"/>
        </w:rPr>
        <w:t>planning</w:t>
      </w:r>
      <w:r w:rsidR="00B23EB4">
        <w:rPr>
          <w:rFonts w:ascii="Arial" w:hAnsi="Arial" w:cs="Arial"/>
        </w:rPr>
        <w:t xml:space="preserve"> in Figure </w:t>
      </w:r>
      <w:r w:rsidR="000422F5">
        <w:rPr>
          <w:rFonts w:ascii="Arial" w:hAnsi="Arial" w:cs="Arial"/>
        </w:rPr>
        <w:t>8</w:t>
      </w:r>
      <w:r w:rsidR="00B23EB4">
        <w:rPr>
          <w:rFonts w:ascii="Arial" w:hAnsi="Arial" w:cs="Arial"/>
        </w:rPr>
        <w:t>-1</w:t>
      </w:r>
      <w:r w:rsidR="000422F5">
        <w:rPr>
          <w:rFonts w:ascii="Arial" w:hAnsi="Arial" w:cs="Arial"/>
        </w:rPr>
        <w:t>1</w:t>
      </w:r>
      <w:r w:rsidR="00B23EB4">
        <w:rPr>
          <w:rFonts w:ascii="Arial" w:hAnsi="Arial" w:cs="Arial"/>
        </w:rPr>
        <w:t>.</w:t>
      </w:r>
      <w:r w:rsidR="000D22B4">
        <w:rPr>
          <w:rFonts w:ascii="Arial" w:hAnsi="Arial" w:cs="Arial"/>
        </w:rPr>
        <w:t xml:space="preserve"> We present</w:t>
      </w:r>
      <w:r w:rsidR="00026A75">
        <w:rPr>
          <w:rFonts w:ascii="Arial" w:hAnsi="Arial" w:cs="Arial"/>
        </w:rPr>
        <w:t xml:space="preserve"> </w:t>
      </w:r>
      <w:r w:rsidR="00153BD5">
        <w:rPr>
          <w:rFonts w:ascii="Arial" w:hAnsi="Arial" w:cs="Arial"/>
        </w:rPr>
        <w:t>the quantitative</w:t>
      </w:r>
      <w:r w:rsidR="00C92138">
        <w:rPr>
          <w:rFonts w:ascii="Arial" w:hAnsi="Arial" w:cs="Arial"/>
        </w:rPr>
        <w:t xml:space="preserve"> results averaged over 5 cases in Table 1.</w:t>
      </w:r>
      <w:r w:rsidR="00427ADC">
        <w:rPr>
          <w:rFonts w:ascii="Arial" w:hAnsi="Arial" w:cs="Arial"/>
        </w:rPr>
        <w:t xml:space="preserve"> </w:t>
      </w:r>
      <w:r w:rsidR="00C92138">
        <w:rPr>
          <w:rFonts w:ascii="Arial" w:hAnsi="Arial" w:cs="Arial"/>
        </w:rPr>
        <w:t xml:space="preserve"> </w:t>
      </w:r>
      <w:r w:rsidR="00872952">
        <w:rPr>
          <w:rFonts w:ascii="Arial" w:hAnsi="Arial" w:cs="Arial"/>
        </w:rPr>
        <w:t xml:space="preserve"> </w:t>
      </w:r>
      <w:r w:rsidR="004F4610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84990" w14:paraId="3446F619" w14:textId="77777777" w:rsidTr="0064599D">
        <w:tc>
          <w:tcPr>
            <w:tcW w:w="3596" w:type="dxa"/>
          </w:tcPr>
          <w:p w14:paraId="20A95407" w14:textId="60C5A927" w:rsidR="0064599D" w:rsidRDefault="00253CCE" w:rsidP="00772C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9F72971" wp14:editId="39FD9996">
                  <wp:extent cx="2076294" cy="1443037"/>
                  <wp:effectExtent l="0" t="0" r="63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se2_stage_1_dose_vs_tim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262" cy="150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1B094273" w14:textId="2F5ED9A8" w:rsidR="0064599D" w:rsidRDefault="00253CCE" w:rsidP="00772C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4D0BEF2" wp14:editId="373A3D9B">
                  <wp:extent cx="2080329" cy="15748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se5_stage_1_dose_vs_tim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843" cy="163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D46E834" w14:textId="0BC94B76" w:rsidR="0064599D" w:rsidRDefault="00253CCE" w:rsidP="00772C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609594" wp14:editId="485732F2">
                  <wp:extent cx="2019300" cy="156510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90_impv_vs_tria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457" cy="162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990" w:rsidRPr="00562DDA" w14:paraId="10E3F97E" w14:textId="77777777" w:rsidTr="0064599D">
        <w:tc>
          <w:tcPr>
            <w:tcW w:w="3596" w:type="dxa"/>
          </w:tcPr>
          <w:p w14:paraId="215BE371" w14:textId="1116F399" w:rsidR="0064599D" w:rsidRPr="001E22A1" w:rsidRDefault="00991A2C" w:rsidP="00772CA6">
            <w:pPr>
              <w:rPr>
                <w:rFonts w:ascii="Arial" w:hAnsi="Arial" w:cs="Arial"/>
                <w:sz w:val="11"/>
                <w:szCs w:val="9"/>
              </w:rPr>
            </w:pPr>
            <w:r w:rsidRPr="001E22A1">
              <w:rPr>
                <w:rFonts w:ascii="Arial" w:hAnsi="Arial" w:cs="Arial"/>
                <w:sz w:val="11"/>
                <w:szCs w:val="9"/>
              </w:rPr>
              <w:t>Figure 1:</w:t>
            </w:r>
            <w:r w:rsidR="00AE7F1D" w:rsidRPr="001E22A1">
              <w:rPr>
                <w:rFonts w:ascii="Arial" w:hAnsi="Arial" w:cs="Arial"/>
                <w:sz w:val="11"/>
                <w:szCs w:val="9"/>
              </w:rPr>
              <w:t xml:space="preserve"> Dose variation and deli</w:t>
            </w:r>
            <w:r w:rsidR="00933A57" w:rsidRPr="001E22A1">
              <w:rPr>
                <w:rFonts w:ascii="Arial" w:hAnsi="Arial" w:cs="Arial"/>
                <w:sz w:val="11"/>
                <w:szCs w:val="9"/>
              </w:rPr>
              <w:t>very time variation</w:t>
            </w:r>
            <w:r w:rsidR="002147D9" w:rsidRPr="001E22A1">
              <w:rPr>
                <w:rFonts w:ascii="Arial" w:hAnsi="Arial" w:cs="Arial"/>
                <w:sz w:val="11"/>
                <w:szCs w:val="9"/>
              </w:rPr>
              <w:t xml:space="preserve"> using first stage model</w:t>
            </w:r>
            <w:r w:rsidR="001F3A5C" w:rsidRPr="001E22A1">
              <w:rPr>
                <w:rFonts w:ascii="Arial" w:hAnsi="Arial" w:cs="Arial"/>
                <w:sz w:val="11"/>
                <w:szCs w:val="9"/>
              </w:rPr>
              <w:t>.</w:t>
            </w:r>
          </w:p>
        </w:tc>
        <w:tc>
          <w:tcPr>
            <w:tcW w:w="3597" w:type="dxa"/>
          </w:tcPr>
          <w:p w14:paraId="5D312F08" w14:textId="691DF22B" w:rsidR="0064599D" w:rsidRPr="001E22A1" w:rsidRDefault="00941BB6" w:rsidP="00772CA6">
            <w:pPr>
              <w:rPr>
                <w:rFonts w:ascii="Arial" w:hAnsi="Arial" w:cs="Arial"/>
                <w:sz w:val="11"/>
                <w:szCs w:val="9"/>
              </w:rPr>
            </w:pPr>
            <w:r w:rsidRPr="001E22A1">
              <w:rPr>
                <w:rFonts w:ascii="Arial" w:hAnsi="Arial" w:cs="Arial"/>
                <w:sz w:val="11"/>
                <w:szCs w:val="9"/>
              </w:rPr>
              <w:t>Figure 2: Dose variation and delivery time variation using first stage model.</w:t>
            </w:r>
          </w:p>
        </w:tc>
        <w:tc>
          <w:tcPr>
            <w:tcW w:w="3597" w:type="dxa"/>
          </w:tcPr>
          <w:p w14:paraId="42E61C99" w14:textId="45918E82" w:rsidR="0064599D" w:rsidRPr="001E22A1" w:rsidRDefault="00253CCE" w:rsidP="00772CA6">
            <w:pPr>
              <w:rPr>
                <w:rFonts w:ascii="Arial" w:hAnsi="Arial" w:cs="Arial"/>
                <w:sz w:val="11"/>
                <w:szCs w:val="9"/>
              </w:rPr>
            </w:pPr>
            <w:r w:rsidRPr="001E22A1">
              <w:rPr>
                <w:rFonts w:ascii="Arial" w:hAnsi="Arial" w:cs="Arial"/>
                <w:sz w:val="11"/>
                <w:szCs w:val="9"/>
              </w:rPr>
              <w:t>Figure 3: D</w:t>
            </w:r>
            <w:r w:rsidRPr="00A172F1">
              <w:rPr>
                <w:rFonts w:ascii="Arial" w:hAnsi="Arial" w:cs="Arial"/>
                <w:sz w:val="11"/>
                <w:szCs w:val="9"/>
                <w:vertAlign w:val="subscript"/>
              </w:rPr>
              <w:t>90</w:t>
            </w:r>
            <w:r w:rsidRPr="001E22A1">
              <w:rPr>
                <w:rFonts w:ascii="Arial" w:hAnsi="Arial" w:cs="Arial"/>
                <w:sz w:val="11"/>
                <w:szCs w:val="9"/>
              </w:rPr>
              <w:t xml:space="preserve"> improvement using second stage model. Compared with D90 obtained using first stage model.</w:t>
            </w:r>
          </w:p>
        </w:tc>
      </w:tr>
    </w:tbl>
    <w:p w14:paraId="4AC869C1" w14:textId="11811E20" w:rsidR="00890FEA" w:rsidRDefault="00890FEA" w:rsidP="00772CA6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7"/>
        <w:gridCol w:w="2698"/>
        <w:gridCol w:w="2697"/>
        <w:gridCol w:w="2698"/>
      </w:tblGrid>
      <w:tr w:rsidR="00A84990" w14:paraId="6E9F794E" w14:textId="77777777" w:rsidTr="00641D0A">
        <w:tc>
          <w:tcPr>
            <w:tcW w:w="2697" w:type="dxa"/>
          </w:tcPr>
          <w:p w14:paraId="5B6427D8" w14:textId="6423E6BC" w:rsidR="00A84990" w:rsidRDefault="008D09BB" w:rsidP="00D10F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057B853" wp14:editId="7692B8D2">
                  <wp:extent cx="1612856" cy="1244851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atient004_Dose_Maps_RSBT_All_cu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87" cy="129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2C596B1A" w14:textId="298840E4" w:rsidR="00A84990" w:rsidRDefault="003A3FD4" w:rsidP="00D10F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2E318F" wp14:editId="663026C5">
                  <wp:extent cx="1629650" cy="1300348"/>
                  <wp:effectExtent l="0" t="0" r="889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tient004_Dose_Maps_RSBT_All_cu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81" cy="1383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7D6E91EB" w14:textId="77DD02C2" w:rsidR="00A84990" w:rsidRDefault="00093CE4" w:rsidP="00D10F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BFB84C" wp14:editId="60187D7F">
                  <wp:extent cx="1686468" cy="1312224"/>
                  <wp:effectExtent l="0" t="0" r="9525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atient007_Dose_Maps_RSBT_All_cu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455" cy="13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5E0DD88" w14:textId="5DA702FE" w:rsidR="00A84990" w:rsidRDefault="00937DD1" w:rsidP="00D10F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2AA60F" wp14:editId="5E317AD8">
                  <wp:extent cx="1692827" cy="1312697"/>
                  <wp:effectExtent l="0" t="0" r="3175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atient007_Dose_Maps_RSBT_All_cu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07" cy="131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990" w14:paraId="71F0C8BF" w14:textId="77777777" w:rsidTr="00641D0A">
        <w:tc>
          <w:tcPr>
            <w:tcW w:w="2697" w:type="dxa"/>
          </w:tcPr>
          <w:p w14:paraId="76FD8970" w14:textId="66F62AE4" w:rsidR="00A84990" w:rsidRPr="00235D1E" w:rsidRDefault="00A84990" w:rsidP="00D10FA3">
            <w:pPr>
              <w:rPr>
                <w:rFonts w:ascii="Arial" w:hAnsi="Arial" w:cs="Arial"/>
                <w:sz w:val="13"/>
                <w:szCs w:val="9"/>
              </w:rPr>
            </w:pPr>
            <w:r w:rsidRPr="00235D1E">
              <w:rPr>
                <w:rFonts w:ascii="Arial" w:hAnsi="Arial" w:cs="Arial"/>
                <w:sz w:val="13"/>
                <w:szCs w:val="9"/>
              </w:rPr>
              <w:t xml:space="preserve">Figure </w:t>
            </w:r>
            <w:r w:rsidR="00523040" w:rsidRPr="00235D1E">
              <w:rPr>
                <w:rFonts w:ascii="Arial" w:hAnsi="Arial" w:cs="Arial"/>
                <w:sz w:val="13"/>
                <w:szCs w:val="9"/>
              </w:rPr>
              <w:t>4</w:t>
            </w:r>
            <w:r w:rsidRPr="00235D1E">
              <w:rPr>
                <w:rFonts w:ascii="Arial" w:hAnsi="Arial" w:cs="Arial"/>
                <w:sz w:val="13"/>
                <w:szCs w:val="9"/>
              </w:rPr>
              <w:t>: Dose map of case 1 with delivery time 39.13</w:t>
            </w:r>
            <w:r w:rsidR="00500DA6" w:rsidRPr="00235D1E">
              <w:rPr>
                <w:rFonts w:ascii="Arial" w:hAnsi="Arial" w:cs="Arial"/>
                <w:sz w:val="13"/>
                <w:szCs w:val="9"/>
              </w:rPr>
              <w:t xml:space="preserve"> min</w:t>
            </w:r>
            <w:r w:rsidRPr="00235D1E">
              <w:rPr>
                <w:rFonts w:ascii="Arial" w:hAnsi="Arial" w:cs="Arial"/>
                <w:sz w:val="13"/>
                <w:szCs w:val="9"/>
              </w:rPr>
              <w:t>, first stage model used.</w:t>
            </w:r>
          </w:p>
        </w:tc>
        <w:tc>
          <w:tcPr>
            <w:tcW w:w="2698" w:type="dxa"/>
          </w:tcPr>
          <w:p w14:paraId="778E814C" w14:textId="3353AB7C" w:rsidR="00A84990" w:rsidRPr="00235D1E" w:rsidRDefault="003A3FD4" w:rsidP="00D10FA3">
            <w:pPr>
              <w:rPr>
                <w:rFonts w:ascii="Arial" w:hAnsi="Arial" w:cs="Arial"/>
                <w:sz w:val="13"/>
                <w:szCs w:val="9"/>
              </w:rPr>
            </w:pPr>
            <w:r w:rsidRPr="00235D1E">
              <w:rPr>
                <w:rFonts w:ascii="Arial" w:hAnsi="Arial" w:cs="Arial"/>
                <w:sz w:val="13"/>
                <w:szCs w:val="9"/>
              </w:rPr>
              <w:t>Figure 6: Dose map of case 1 with delivery time 17.66</w:t>
            </w:r>
            <w:r w:rsidR="00EC36CA" w:rsidRPr="00235D1E">
              <w:rPr>
                <w:rFonts w:ascii="Arial" w:hAnsi="Arial" w:cs="Arial"/>
                <w:sz w:val="13"/>
                <w:szCs w:val="9"/>
              </w:rPr>
              <w:t xml:space="preserve"> min</w:t>
            </w:r>
            <w:r w:rsidRPr="00235D1E">
              <w:rPr>
                <w:rFonts w:ascii="Arial" w:hAnsi="Arial" w:cs="Arial"/>
                <w:sz w:val="13"/>
                <w:szCs w:val="9"/>
              </w:rPr>
              <w:t>, first stage model used.</w:t>
            </w:r>
          </w:p>
        </w:tc>
        <w:tc>
          <w:tcPr>
            <w:tcW w:w="2697" w:type="dxa"/>
          </w:tcPr>
          <w:p w14:paraId="31034B4E" w14:textId="53D833C7" w:rsidR="00A84990" w:rsidRPr="00235D1E" w:rsidRDefault="00A84990" w:rsidP="00D10FA3">
            <w:pPr>
              <w:rPr>
                <w:rFonts w:ascii="Arial" w:hAnsi="Arial" w:cs="Arial"/>
                <w:sz w:val="13"/>
                <w:szCs w:val="9"/>
              </w:rPr>
            </w:pPr>
            <w:r w:rsidRPr="00235D1E">
              <w:rPr>
                <w:rFonts w:ascii="Arial" w:hAnsi="Arial" w:cs="Arial"/>
                <w:sz w:val="13"/>
                <w:szCs w:val="9"/>
              </w:rPr>
              <w:t xml:space="preserve">Figure </w:t>
            </w:r>
            <w:r w:rsidR="009A1A09" w:rsidRPr="00235D1E">
              <w:rPr>
                <w:rFonts w:ascii="Arial" w:hAnsi="Arial" w:cs="Arial"/>
                <w:sz w:val="13"/>
                <w:szCs w:val="9"/>
              </w:rPr>
              <w:t>8</w:t>
            </w:r>
            <w:r w:rsidRPr="00235D1E">
              <w:rPr>
                <w:rFonts w:ascii="Arial" w:hAnsi="Arial" w:cs="Arial"/>
                <w:sz w:val="13"/>
                <w:szCs w:val="9"/>
              </w:rPr>
              <w:t>: Dose map of case 2, first stage model used.</w:t>
            </w:r>
          </w:p>
        </w:tc>
        <w:tc>
          <w:tcPr>
            <w:tcW w:w="2698" w:type="dxa"/>
          </w:tcPr>
          <w:p w14:paraId="666CAB34" w14:textId="180B78D1" w:rsidR="00A84990" w:rsidRPr="00235D1E" w:rsidRDefault="00937DD1" w:rsidP="00D10FA3">
            <w:pPr>
              <w:rPr>
                <w:rFonts w:ascii="Arial" w:hAnsi="Arial" w:cs="Arial"/>
                <w:sz w:val="13"/>
                <w:szCs w:val="9"/>
              </w:rPr>
            </w:pPr>
            <w:r w:rsidRPr="00235D1E">
              <w:rPr>
                <w:rFonts w:ascii="Arial" w:hAnsi="Arial" w:cs="Arial"/>
                <w:sz w:val="13"/>
                <w:szCs w:val="9"/>
              </w:rPr>
              <w:t xml:space="preserve">Figure </w:t>
            </w:r>
            <w:r w:rsidR="009A1A09" w:rsidRPr="00235D1E">
              <w:rPr>
                <w:rFonts w:ascii="Arial" w:hAnsi="Arial" w:cs="Arial"/>
                <w:sz w:val="13"/>
                <w:szCs w:val="9"/>
              </w:rPr>
              <w:t>9</w:t>
            </w:r>
            <w:r w:rsidRPr="00235D1E">
              <w:rPr>
                <w:rFonts w:ascii="Arial" w:hAnsi="Arial" w:cs="Arial"/>
                <w:sz w:val="13"/>
                <w:szCs w:val="9"/>
              </w:rPr>
              <w:t>: Dose map of case 2, second stage model used.</w:t>
            </w:r>
          </w:p>
        </w:tc>
      </w:tr>
      <w:tr w:rsidR="00A84990" w14:paraId="23285010" w14:textId="77777777" w:rsidTr="00641D0A">
        <w:tc>
          <w:tcPr>
            <w:tcW w:w="2697" w:type="dxa"/>
          </w:tcPr>
          <w:p w14:paraId="3D5245F1" w14:textId="23A425C2" w:rsidR="00A84990" w:rsidRDefault="00641D0A" w:rsidP="00D10F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495718" wp14:editId="4FA8B1DD">
                  <wp:extent cx="1630451" cy="120015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atient004_DVH_doseEscalation_cu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00" cy="128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8520073" w14:textId="0F6CFDB7" w:rsidR="00A84990" w:rsidRDefault="00641D0A" w:rsidP="00D10F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4E1983" wp14:editId="081B45B1">
                  <wp:extent cx="1642745" cy="1176337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atient004_DVH_doseEscalation_cu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753" cy="12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1CE803B6" w14:textId="63F606F9" w:rsidR="00A84990" w:rsidRDefault="00937DD1" w:rsidP="00D10F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0765AB1" wp14:editId="254EAFFA">
                  <wp:extent cx="1627505" cy="11906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atient007_DVH_doseEscalation_cu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342" cy="1306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0BE31EFC" w14:textId="469CEAAC" w:rsidR="00A84990" w:rsidRDefault="00937DD1" w:rsidP="00D10FA3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CE3B176" wp14:editId="09BFE03C">
                  <wp:extent cx="1623506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315" cy="121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990" w14:paraId="610344BE" w14:textId="77777777" w:rsidTr="00641D0A">
        <w:tc>
          <w:tcPr>
            <w:tcW w:w="2697" w:type="dxa"/>
          </w:tcPr>
          <w:p w14:paraId="5C943739" w14:textId="58F21009" w:rsidR="00A84990" w:rsidRPr="00235D1E" w:rsidRDefault="003A3FD4" w:rsidP="00D10FA3">
            <w:pPr>
              <w:rPr>
                <w:rFonts w:ascii="Arial" w:hAnsi="Arial" w:cs="Arial"/>
                <w:sz w:val="13"/>
                <w:szCs w:val="9"/>
              </w:rPr>
            </w:pPr>
            <w:r w:rsidRPr="00235D1E">
              <w:rPr>
                <w:rFonts w:ascii="Arial" w:hAnsi="Arial" w:cs="Arial"/>
                <w:sz w:val="13"/>
                <w:szCs w:val="9"/>
              </w:rPr>
              <w:t>Figure 5: DVH dose escalation of case 1 with delivery time 39.13</w:t>
            </w:r>
            <w:r w:rsidR="00A172F1" w:rsidRPr="00235D1E">
              <w:rPr>
                <w:rFonts w:ascii="Arial" w:hAnsi="Arial" w:cs="Arial"/>
                <w:sz w:val="13"/>
                <w:szCs w:val="9"/>
              </w:rPr>
              <w:t xml:space="preserve"> min</w:t>
            </w:r>
            <w:r w:rsidRPr="00235D1E">
              <w:rPr>
                <w:rFonts w:ascii="Arial" w:hAnsi="Arial" w:cs="Arial"/>
                <w:sz w:val="13"/>
                <w:szCs w:val="9"/>
              </w:rPr>
              <w:t>, first stage model used</w:t>
            </w:r>
            <w:bookmarkStart w:id="0" w:name="_GoBack"/>
            <w:bookmarkEnd w:id="0"/>
          </w:p>
        </w:tc>
        <w:tc>
          <w:tcPr>
            <w:tcW w:w="2698" w:type="dxa"/>
          </w:tcPr>
          <w:p w14:paraId="3D177580" w14:textId="479F4046" w:rsidR="00A84990" w:rsidRPr="00235D1E" w:rsidRDefault="00A84990" w:rsidP="00D10FA3">
            <w:pPr>
              <w:rPr>
                <w:rFonts w:ascii="Arial" w:hAnsi="Arial" w:cs="Arial"/>
                <w:sz w:val="13"/>
                <w:szCs w:val="9"/>
              </w:rPr>
            </w:pPr>
            <w:r w:rsidRPr="00235D1E">
              <w:rPr>
                <w:rFonts w:ascii="Arial" w:hAnsi="Arial" w:cs="Arial"/>
                <w:sz w:val="13"/>
                <w:szCs w:val="9"/>
              </w:rPr>
              <w:t xml:space="preserve">Figure </w:t>
            </w:r>
            <w:r w:rsidR="00523040" w:rsidRPr="00235D1E">
              <w:rPr>
                <w:rFonts w:ascii="Arial" w:hAnsi="Arial" w:cs="Arial"/>
                <w:sz w:val="13"/>
                <w:szCs w:val="9"/>
              </w:rPr>
              <w:t>7</w:t>
            </w:r>
            <w:r w:rsidRPr="00235D1E">
              <w:rPr>
                <w:rFonts w:ascii="Arial" w:hAnsi="Arial" w:cs="Arial"/>
                <w:sz w:val="13"/>
                <w:szCs w:val="9"/>
              </w:rPr>
              <w:t>: DVH dose escalation of case 1 with delivery time 17.66</w:t>
            </w:r>
            <w:r w:rsidR="00A172F1" w:rsidRPr="00235D1E">
              <w:rPr>
                <w:rFonts w:ascii="Arial" w:hAnsi="Arial" w:cs="Arial"/>
                <w:sz w:val="13"/>
                <w:szCs w:val="9"/>
              </w:rPr>
              <w:t xml:space="preserve"> min</w:t>
            </w:r>
            <w:r w:rsidRPr="00235D1E">
              <w:rPr>
                <w:rFonts w:ascii="Arial" w:hAnsi="Arial" w:cs="Arial"/>
                <w:sz w:val="13"/>
                <w:szCs w:val="9"/>
              </w:rPr>
              <w:t>, first stage model used.</w:t>
            </w:r>
          </w:p>
        </w:tc>
        <w:tc>
          <w:tcPr>
            <w:tcW w:w="2697" w:type="dxa"/>
          </w:tcPr>
          <w:p w14:paraId="480389A3" w14:textId="66E98220" w:rsidR="00A84990" w:rsidRPr="00235D1E" w:rsidRDefault="00937DD1" w:rsidP="00D10FA3">
            <w:pPr>
              <w:rPr>
                <w:rFonts w:ascii="Arial" w:hAnsi="Arial" w:cs="Arial"/>
                <w:sz w:val="13"/>
                <w:szCs w:val="9"/>
              </w:rPr>
            </w:pPr>
            <w:r w:rsidRPr="00235D1E">
              <w:rPr>
                <w:rFonts w:ascii="Arial" w:hAnsi="Arial" w:cs="Arial"/>
                <w:sz w:val="13"/>
                <w:szCs w:val="9"/>
              </w:rPr>
              <w:t>Figure 1</w:t>
            </w:r>
            <w:r w:rsidR="009A1A09" w:rsidRPr="00235D1E">
              <w:rPr>
                <w:rFonts w:ascii="Arial" w:hAnsi="Arial" w:cs="Arial"/>
                <w:sz w:val="13"/>
                <w:szCs w:val="9"/>
              </w:rPr>
              <w:t>0</w:t>
            </w:r>
            <w:r w:rsidRPr="00235D1E">
              <w:rPr>
                <w:rFonts w:ascii="Arial" w:hAnsi="Arial" w:cs="Arial"/>
                <w:sz w:val="13"/>
                <w:szCs w:val="9"/>
              </w:rPr>
              <w:t>: DVH dose escalation of case 2, first stage model used.</w:t>
            </w:r>
          </w:p>
        </w:tc>
        <w:tc>
          <w:tcPr>
            <w:tcW w:w="2698" w:type="dxa"/>
          </w:tcPr>
          <w:p w14:paraId="4AC41FC2" w14:textId="43E89544" w:rsidR="00A84990" w:rsidRPr="00235D1E" w:rsidRDefault="00A84990" w:rsidP="00D10FA3">
            <w:pPr>
              <w:rPr>
                <w:rFonts w:ascii="Arial" w:hAnsi="Arial" w:cs="Arial"/>
                <w:sz w:val="13"/>
                <w:szCs w:val="9"/>
              </w:rPr>
            </w:pPr>
            <w:r w:rsidRPr="00235D1E">
              <w:rPr>
                <w:rFonts w:ascii="Arial" w:hAnsi="Arial" w:cs="Arial"/>
                <w:sz w:val="13"/>
                <w:szCs w:val="9"/>
              </w:rPr>
              <w:t>Figure 1</w:t>
            </w:r>
            <w:r w:rsidR="009A1A09" w:rsidRPr="00235D1E">
              <w:rPr>
                <w:rFonts w:ascii="Arial" w:hAnsi="Arial" w:cs="Arial"/>
                <w:sz w:val="13"/>
                <w:szCs w:val="9"/>
              </w:rPr>
              <w:t>1</w:t>
            </w:r>
            <w:r w:rsidRPr="00235D1E">
              <w:rPr>
                <w:rFonts w:ascii="Arial" w:hAnsi="Arial" w:cs="Arial"/>
                <w:sz w:val="13"/>
                <w:szCs w:val="9"/>
              </w:rPr>
              <w:t>: DVH dose escalation of case 2, second stage model used.</w:t>
            </w:r>
          </w:p>
        </w:tc>
      </w:tr>
    </w:tbl>
    <w:p w14:paraId="478ED3E2" w14:textId="25E4DE45" w:rsidR="00B97B20" w:rsidRDefault="00B97B20" w:rsidP="00772CA6">
      <w:pPr>
        <w:rPr>
          <w:rFonts w:ascii="Arial" w:hAnsi="Arial" w:cs="Arial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59"/>
        <w:gridCol w:w="1727"/>
        <w:gridCol w:w="1726"/>
        <w:gridCol w:w="1726"/>
        <w:gridCol w:w="1726"/>
        <w:gridCol w:w="1726"/>
      </w:tblGrid>
      <w:tr w:rsidR="00593AB0" w14:paraId="7DDABCEC" w14:textId="77777777" w:rsidTr="00A172F1">
        <w:trPr>
          <w:jc w:val="center"/>
        </w:trPr>
        <w:tc>
          <w:tcPr>
            <w:tcW w:w="1000" w:type="pct"/>
            <w:vAlign w:val="bottom"/>
          </w:tcPr>
          <w:p w14:paraId="2DAB51BB" w14:textId="16BE1846" w:rsidR="00593AB0" w:rsidRDefault="008E0B8C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Treatment</w:t>
            </w:r>
            <w:r w:rsidR="00465E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time</w:t>
            </w:r>
            <w:r w:rsidR="0056460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(min)</w:t>
            </w:r>
          </w:p>
        </w:tc>
        <w:tc>
          <w:tcPr>
            <w:tcW w:w="800" w:type="pct"/>
            <w:vAlign w:val="bottom"/>
          </w:tcPr>
          <w:p w14:paraId="206B310D" w14:textId="015320B1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45.85</w:t>
            </w:r>
            <w:r w:rsidR="0067170E">
              <w:rPr>
                <w:rFonts w:ascii="Calibri" w:hAnsi="Calibri" w:cs="Calibri"/>
                <w:color w:val="000000"/>
              </w:rPr>
              <w:t>±13.49</w:t>
            </w:r>
          </w:p>
        </w:tc>
        <w:tc>
          <w:tcPr>
            <w:tcW w:w="800" w:type="pct"/>
            <w:vAlign w:val="bottom"/>
          </w:tcPr>
          <w:p w14:paraId="4B458974" w14:textId="70BFE613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37.10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10.66</w:t>
            </w:r>
          </w:p>
        </w:tc>
        <w:tc>
          <w:tcPr>
            <w:tcW w:w="800" w:type="pct"/>
            <w:vAlign w:val="bottom"/>
          </w:tcPr>
          <w:p w14:paraId="45B6F6CA" w14:textId="4253EDFE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28.14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7.91</w:t>
            </w:r>
          </w:p>
        </w:tc>
        <w:tc>
          <w:tcPr>
            <w:tcW w:w="800" w:type="pct"/>
            <w:vAlign w:val="bottom"/>
          </w:tcPr>
          <w:p w14:paraId="17268072" w14:textId="68B236DA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19.02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4.99</w:t>
            </w:r>
          </w:p>
        </w:tc>
        <w:tc>
          <w:tcPr>
            <w:tcW w:w="800" w:type="pct"/>
            <w:vAlign w:val="bottom"/>
          </w:tcPr>
          <w:p w14:paraId="3B1A5FD2" w14:textId="3AAA85F4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10.16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2.00</w:t>
            </w:r>
          </w:p>
        </w:tc>
      </w:tr>
      <w:tr w:rsidR="00593AB0" w14:paraId="21C7ECEF" w14:textId="77777777" w:rsidTr="00A172F1">
        <w:trPr>
          <w:jc w:val="center"/>
        </w:trPr>
        <w:tc>
          <w:tcPr>
            <w:tcW w:w="1000" w:type="pct"/>
            <w:vAlign w:val="bottom"/>
          </w:tcPr>
          <w:p w14:paraId="4B8EAE6F" w14:textId="7FEBE9FF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CE012E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90</w:t>
            </w:r>
            <w:r w:rsidR="00592C1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592C13">
              <w:rPr>
                <w:rFonts w:ascii="Calibri" w:hAnsi="Calibri" w:cs="Calibri"/>
                <w:color w:val="000000"/>
                <w:sz w:val="20"/>
                <w:szCs w:val="20"/>
              </w:rPr>
              <w:t>Gy</w:t>
            </w:r>
            <w:proofErr w:type="spellEnd"/>
            <w:r w:rsidR="00592C13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0" w:type="pct"/>
            <w:vAlign w:val="bottom"/>
          </w:tcPr>
          <w:p w14:paraId="3BC6A62D" w14:textId="54FF6EAF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88.12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8.19</w:t>
            </w:r>
          </w:p>
        </w:tc>
        <w:tc>
          <w:tcPr>
            <w:tcW w:w="800" w:type="pct"/>
            <w:vAlign w:val="bottom"/>
          </w:tcPr>
          <w:p w14:paraId="4EE1DB9F" w14:textId="503147A4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86.10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6.18</w:t>
            </w:r>
          </w:p>
        </w:tc>
        <w:tc>
          <w:tcPr>
            <w:tcW w:w="800" w:type="pct"/>
            <w:vAlign w:val="bottom"/>
          </w:tcPr>
          <w:p w14:paraId="49B34358" w14:textId="2F3176F5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81.98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6.79</w:t>
            </w:r>
          </w:p>
        </w:tc>
        <w:tc>
          <w:tcPr>
            <w:tcW w:w="800" w:type="pct"/>
            <w:vAlign w:val="bottom"/>
          </w:tcPr>
          <w:p w14:paraId="7D2B65F9" w14:textId="168C7343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75.20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8.75</w:t>
            </w:r>
          </w:p>
        </w:tc>
        <w:tc>
          <w:tcPr>
            <w:tcW w:w="800" w:type="pct"/>
            <w:vAlign w:val="bottom"/>
          </w:tcPr>
          <w:p w14:paraId="04F40DF4" w14:textId="38A3DF13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64.14</w:t>
            </w:r>
            <w:r w:rsidR="00505FE2">
              <w:rPr>
                <w:rFonts w:ascii="Calibri" w:hAnsi="Calibri" w:cs="Calibri"/>
                <w:color w:val="000000"/>
              </w:rPr>
              <w:t>±</w:t>
            </w:r>
            <w:r w:rsidR="00505FE2">
              <w:rPr>
                <w:rFonts w:ascii="Calibri" w:hAnsi="Calibri" w:cs="Calibri"/>
                <w:color w:val="000000"/>
              </w:rPr>
              <w:t>10.50</w:t>
            </w:r>
          </w:p>
        </w:tc>
      </w:tr>
      <w:tr w:rsidR="00593AB0" w14:paraId="4C80B55E" w14:textId="77777777" w:rsidTr="00A172F1">
        <w:trPr>
          <w:jc w:val="center"/>
        </w:trPr>
        <w:tc>
          <w:tcPr>
            <w:tcW w:w="1000" w:type="pct"/>
            <w:vAlign w:val="bottom"/>
          </w:tcPr>
          <w:p w14:paraId="0DD95582" w14:textId="529C4340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CE012E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100</w:t>
            </w:r>
            <w:r w:rsidR="004965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96557">
              <w:rPr>
                <w:rFonts w:ascii="Calibri" w:hAnsi="Calibri" w:cs="Calibri"/>
                <w:color w:val="000000"/>
                <w:sz w:val="20"/>
                <w:szCs w:val="20"/>
              </w:rPr>
              <w:t>Gy</w:t>
            </w:r>
            <w:proofErr w:type="spellEnd"/>
            <w:r w:rsidR="00496557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0" w:type="pct"/>
            <w:vAlign w:val="bottom"/>
          </w:tcPr>
          <w:p w14:paraId="65B2170B" w14:textId="58B2672A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67.13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7.14</w:t>
            </w:r>
          </w:p>
        </w:tc>
        <w:tc>
          <w:tcPr>
            <w:tcW w:w="800" w:type="pct"/>
            <w:vAlign w:val="bottom"/>
          </w:tcPr>
          <w:p w14:paraId="7C2AF163" w14:textId="2FF4B1F6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64.46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6</w:t>
            </w:r>
            <w:r w:rsidR="0067170E">
              <w:rPr>
                <w:rFonts w:ascii="Calibri" w:hAnsi="Calibri" w:cs="Calibri" w:hint="eastAsia"/>
                <w:color w:val="000000"/>
              </w:rPr>
              <w:t>.</w:t>
            </w:r>
            <w:r w:rsidR="0067170E">
              <w:rPr>
                <w:rFonts w:ascii="Calibri" w:hAnsi="Calibri" w:cs="Calibri"/>
                <w:color w:val="000000"/>
              </w:rPr>
              <w:t>04</w:t>
            </w:r>
          </w:p>
        </w:tc>
        <w:tc>
          <w:tcPr>
            <w:tcW w:w="800" w:type="pct"/>
            <w:vAlign w:val="bottom"/>
          </w:tcPr>
          <w:p w14:paraId="167B4E7D" w14:textId="6558E0F7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60.52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5.39</w:t>
            </w:r>
          </w:p>
        </w:tc>
        <w:tc>
          <w:tcPr>
            <w:tcW w:w="800" w:type="pct"/>
            <w:vAlign w:val="bottom"/>
          </w:tcPr>
          <w:p w14:paraId="137EDE11" w14:textId="7F271E1A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56.58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5.99</w:t>
            </w:r>
          </w:p>
        </w:tc>
        <w:tc>
          <w:tcPr>
            <w:tcW w:w="800" w:type="pct"/>
            <w:vAlign w:val="bottom"/>
          </w:tcPr>
          <w:p w14:paraId="0519DEB0" w14:textId="6DEA064C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52.41</w:t>
            </w:r>
            <w:r w:rsidR="00505FE2">
              <w:rPr>
                <w:rFonts w:ascii="Calibri" w:hAnsi="Calibri" w:cs="Calibri"/>
                <w:color w:val="000000"/>
              </w:rPr>
              <w:t>±</w:t>
            </w:r>
            <w:r w:rsidR="00505FE2">
              <w:rPr>
                <w:rFonts w:ascii="Calibri" w:hAnsi="Calibri" w:cs="Calibri"/>
                <w:color w:val="000000"/>
              </w:rPr>
              <w:t>6.41</w:t>
            </w:r>
          </w:p>
        </w:tc>
      </w:tr>
      <w:tr w:rsidR="00593AB0" w14:paraId="13145538" w14:textId="77777777" w:rsidTr="00A172F1">
        <w:trPr>
          <w:jc w:val="center"/>
        </w:trPr>
        <w:tc>
          <w:tcPr>
            <w:tcW w:w="1000" w:type="pct"/>
            <w:vAlign w:val="bottom"/>
          </w:tcPr>
          <w:p w14:paraId="00BAB02B" w14:textId="500F8E3A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CE012E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2cc</w:t>
            </w:r>
            <w:r w:rsidR="00465E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bladder</w:t>
            </w:r>
            <w:r w:rsidR="00D4381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D43814">
              <w:rPr>
                <w:rFonts w:ascii="Calibri" w:hAnsi="Calibri" w:cs="Calibri"/>
                <w:color w:val="000000"/>
                <w:sz w:val="20"/>
                <w:szCs w:val="20"/>
              </w:rPr>
              <w:t>Gy</w:t>
            </w:r>
            <w:proofErr w:type="spellEnd"/>
            <w:r w:rsidR="00D43814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0" w:type="pct"/>
            <w:vAlign w:val="bottom"/>
          </w:tcPr>
          <w:p w14:paraId="15050D02" w14:textId="1139A6EA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5.87</w:t>
            </w:r>
          </w:p>
        </w:tc>
        <w:tc>
          <w:tcPr>
            <w:tcW w:w="800" w:type="pct"/>
            <w:vAlign w:val="bottom"/>
          </w:tcPr>
          <w:p w14:paraId="7DD0BFB8" w14:textId="4EF6DBA1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81.29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5.81</w:t>
            </w:r>
          </w:p>
        </w:tc>
        <w:tc>
          <w:tcPr>
            <w:tcW w:w="800" w:type="pct"/>
            <w:vAlign w:val="bottom"/>
          </w:tcPr>
          <w:p w14:paraId="4C57F1D0" w14:textId="33F3C38D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80.66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5.23</w:t>
            </w:r>
          </w:p>
        </w:tc>
        <w:tc>
          <w:tcPr>
            <w:tcW w:w="800" w:type="pct"/>
            <w:vAlign w:val="bottom"/>
          </w:tcPr>
          <w:p w14:paraId="64E49373" w14:textId="0083ABBF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80.38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5.69</w:t>
            </w:r>
          </w:p>
        </w:tc>
        <w:tc>
          <w:tcPr>
            <w:tcW w:w="800" w:type="pct"/>
            <w:vAlign w:val="bottom"/>
          </w:tcPr>
          <w:p w14:paraId="2FF98948" w14:textId="29091E2B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79.45</w:t>
            </w:r>
            <w:r w:rsidR="00505FE2">
              <w:rPr>
                <w:rFonts w:ascii="Calibri" w:hAnsi="Calibri" w:cs="Calibri"/>
                <w:color w:val="000000"/>
              </w:rPr>
              <w:t>±</w:t>
            </w:r>
            <w:r w:rsidR="00505FE2">
              <w:rPr>
                <w:rFonts w:ascii="Calibri" w:hAnsi="Calibri" w:cs="Calibri"/>
                <w:color w:val="000000"/>
              </w:rPr>
              <w:t>8.93</w:t>
            </w:r>
          </w:p>
        </w:tc>
      </w:tr>
      <w:tr w:rsidR="00593AB0" w14:paraId="255927B4" w14:textId="77777777" w:rsidTr="00A172F1">
        <w:trPr>
          <w:jc w:val="center"/>
        </w:trPr>
        <w:tc>
          <w:tcPr>
            <w:tcW w:w="1000" w:type="pct"/>
            <w:vAlign w:val="bottom"/>
          </w:tcPr>
          <w:p w14:paraId="0E15F274" w14:textId="52DED09E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CE012E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2cc</w:t>
            </w:r>
            <w:r w:rsidR="00465E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rectum</w:t>
            </w:r>
            <w:r w:rsidR="008E0B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8E0B8C">
              <w:rPr>
                <w:rFonts w:ascii="Calibri" w:hAnsi="Calibri" w:cs="Calibri"/>
                <w:color w:val="000000"/>
                <w:sz w:val="20"/>
                <w:szCs w:val="20"/>
              </w:rPr>
              <w:t>Gy</w:t>
            </w:r>
            <w:proofErr w:type="spellEnd"/>
            <w:r w:rsidR="008E0B8C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0" w:type="pct"/>
            <w:vAlign w:val="bottom"/>
          </w:tcPr>
          <w:p w14:paraId="7B030CF3" w14:textId="04FA8C3B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70.28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6.69</w:t>
            </w:r>
          </w:p>
        </w:tc>
        <w:tc>
          <w:tcPr>
            <w:tcW w:w="800" w:type="pct"/>
            <w:vAlign w:val="bottom"/>
          </w:tcPr>
          <w:p w14:paraId="3F14CB0D" w14:textId="18A60C0F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71.67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5.86</w:t>
            </w:r>
          </w:p>
        </w:tc>
        <w:tc>
          <w:tcPr>
            <w:tcW w:w="800" w:type="pct"/>
            <w:vAlign w:val="bottom"/>
          </w:tcPr>
          <w:p w14:paraId="1BBE8678" w14:textId="1432FF89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72.90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4.69</w:t>
            </w:r>
          </w:p>
        </w:tc>
        <w:tc>
          <w:tcPr>
            <w:tcW w:w="800" w:type="pct"/>
            <w:vAlign w:val="bottom"/>
          </w:tcPr>
          <w:p w14:paraId="77396DC7" w14:textId="3DF80F33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73.91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2.44</w:t>
            </w:r>
          </w:p>
        </w:tc>
        <w:tc>
          <w:tcPr>
            <w:tcW w:w="800" w:type="pct"/>
            <w:vAlign w:val="bottom"/>
          </w:tcPr>
          <w:p w14:paraId="7135505E" w14:textId="1AC37710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73.27</w:t>
            </w:r>
            <w:r w:rsidR="00505FE2">
              <w:rPr>
                <w:rFonts w:ascii="Calibri" w:hAnsi="Calibri" w:cs="Calibri"/>
                <w:color w:val="000000"/>
              </w:rPr>
              <w:t>±</w:t>
            </w:r>
            <w:r w:rsidR="00505FE2">
              <w:rPr>
                <w:rFonts w:ascii="Calibri" w:hAnsi="Calibri" w:cs="Calibri"/>
                <w:color w:val="000000"/>
              </w:rPr>
              <w:t>3.86</w:t>
            </w:r>
          </w:p>
        </w:tc>
      </w:tr>
      <w:tr w:rsidR="00593AB0" w14:paraId="4645018F" w14:textId="77777777" w:rsidTr="00A172F1">
        <w:trPr>
          <w:jc w:val="center"/>
        </w:trPr>
        <w:tc>
          <w:tcPr>
            <w:tcW w:w="1000" w:type="pct"/>
            <w:vAlign w:val="bottom"/>
          </w:tcPr>
          <w:p w14:paraId="6854DA1D" w14:textId="2FFD9D68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CE012E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2cc</w:t>
            </w:r>
            <w:r w:rsidR="00465EA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sigmoid</w:t>
            </w:r>
            <w:r w:rsidR="008E0B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8E0B8C">
              <w:rPr>
                <w:rFonts w:ascii="Calibri" w:hAnsi="Calibri" w:cs="Calibri"/>
                <w:color w:val="000000"/>
                <w:sz w:val="20"/>
                <w:szCs w:val="20"/>
              </w:rPr>
              <w:t>Gy</w:t>
            </w:r>
            <w:proofErr w:type="spellEnd"/>
            <w:r w:rsidR="008E0B8C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0" w:type="pct"/>
            <w:vAlign w:val="bottom"/>
          </w:tcPr>
          <w:p w14:paraId="1A406D71" w14:textId="3E921DF3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67.47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5.83</w:t>
            </w:r>
          </w:p>
        </w:tc>
        <w:tc>
          <w:tcPr>
            <w:tcW w:w="800" w:type="pct"/>
            <w:vAlign w:val="bottom"/>
          </w:tcPr>
          <w:p w14:paraId="34B358E6" w14:textId="6BAA9C89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65.99</w:t>
            </w:r>
            <w:r w:rsidR="0067170E">
              <w:rPr>
                <w:rFonts w:ascii="Calibri" w:hAnsi="Calibri" w:cs="Calibri"/>
                <w:color w:val="000000"/>
              </w:rPr>
              <w:t>±</w:t>
            </w:r>
            <w:r w:rsidR="0067170E">
              <w:rPr>
                <w:rFonts w:ascii="Calibri" w:hAnsi="Calibri" w:cs="Calibri"/>
                <w:color w:val="000000"/>
              </w:rPr>
              <w:t>6.85</w:t>
            </w:r>
          </w:p>
        </w:tc>
        <w:tc>
          <w:tcPr>
            <w:tcW w:w="800" w:type="pct"/>
            <w:vAlign w:val="bottom"/>
          </w:tcPr>
          <w:p w14:paraId="5F664904" w14:textId="2EBB1961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63.86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7.68</w:t>
            </w:r>
          </w:p>
        </w:tc>
        <w:tc>
          <w:tcPr>
            <w:tcW w:w="800" w:type="pct"/>
            <w:vAlign w:val="bottom"/>
          </w:tcPr>
          <w:p w14:paraId="720C1A02" w14:textId="1696D9A0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61.23</w:t>
            </w:r>
            <w:r w:rsidR="00D35B92">
              <w:rPr>
                <w:rFonts w:ascii="Calibri" w:hAnsi="Calibri" w:cs="Calibri"/>
                <w:color w:val="000000"/>
              </w:rPr>
              <w:t>±</w:t>
            </w:r>
            <w:r w:rsidR="00D35B92">
              <w:rPr>
                <w:rFonts w:ascii="Calibri" w:hAnsi="Calibri" w:cs="Calibri"/>
                <w:color w:val="000000"/>
              </w:rPr>
              <w:t>9.15</w:t>
            </w:r>
          </w:p>
        </w:tc>
        <w:tc>
          <w:tcPr>
            <w:tcW w:w="800" w:type="pct"/>
            <w:vAlign w:val="bottom"/>
          </w:tcPr>
          <w:p w14:paraId="554EACB8" w14:textId="5943A4CB" w:rsidR="00593AB0" w:rsidRDefault="00593AB0" w:rsidP="00593AB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58.30</w:t>
            </w:r>
            <w:r w:rsidR="00505FE2">
              <w:rPr>
                <w:rFonts w:ascii="Calibri" w:hAnsi="Calibri" w:cs="Calibri"/>
                <w:color w:val="000000"/>
              </w:rPr>
              <w:t>±</w:t>
            </w:r>
            <w:r w:rsidR="00505FE2">
              <w:rPr>
                <w:rFonts w:ascii="Calibri" w:hAnsi="Calibri" w:cs="Calibri"/>
                <w:color w:val="000000"/>
              </w:rPr>
              <w:t>9.02</w:t>
            </w:r>
          </w:p>
        </w:tc>
      </w:tr>
      <w:tr w:rsidR="007A2967" w14:paraId="1839873C" w14:textId="77777777" w:rsidTr="00A172F1">
        <w:trPr>
          <w:jc w:val="center"/>
        </w:trPr>
        <w:tc>
          <w:tcPr>
            <w:tcW w:w="800" w:type="pct"/>
            <w:gridSpan w:val="6"/>
          </w:tcPr>
          <w:p w14:paraId="7B70249D" w14:textId="30CC712C" w:rsidR="007A2967" w:rsidRDefault="007A2967" w:rsidP="007A29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1: </w:t>
            </w:r>
            <w:r w:rsidR="00E453A3">
              <w:rPr>
                <w:rFonts w:ascii="Arial" w:hAnsi="Arial" w:cs="Arial"/>
              </w:rPr>
              <w:t xml:space="preserve">Average performance </w:t>
            </w:r>
            <w:r w:rsidR="000C47D2">
              <w:rPr>
                <w:rFonts w:ascii="Arial" w:hAnsi="Arial" w:cs="Arial"/>
              </w:rPr>
              <w:t>over 5 patient cases</w:t>
            </w:r>
            <w:r w:rsidR="00384F40">
              <w:rPr>
                <w:rFonts w:ascii="Arial" w:hAnsi="Arial" w:cs="Arial"/>
              </w:rPr>
              <w:t xml:space="preserve">. </w:t>
            </w:r>
            <w:r w:rsidR="00B750AB">
              <w:rPr>
                <w:rFonts w:ascii="Arial" w:hAnsi="Arial" w:cs="Arial"/>
              </w:rPr>
              <w:t xml:space="preserve">Different trials have different </w:t>
            </w:r>
            <w:r w:rsidR="00700749">
              <w:rPr>
                <w:rFonts w:ascii="Arial" w:hAnsi="Arial" w:cs="Arial"/>
              </w:rPr>
              <w:t>delivery time budget</w:t>
            </w:r>
            <w:r w:rsidR="00750E7B">
              <w:rPr>
                <w:rFonts w:ascii="Arial" w:hAnsi="Arial" w:cs="Arial"/>
              </w:rPr>
              <w:t>.</w:t>
            </w:r>
          </w:p>
        </w:tc>
      </w:tr>
    </w:tbl>
    <w:p w14:paraId="13A06295" w14:textId="77777777" w:rsidR="008D09BB" w:rsidRPr="00890FEA" w:rsidRDefault="008D09BB" w:rsidP="00772CA6">
      <w:pPr>
        <w:rPr>
          <w:rFonts w:ascii="Arial" w:hAnsi="Arial" w:cs="Arial"/>
        </w:rPr>
      </w:pPr>
    </w:p>
    <w:sectPr w:rsidR="008D09BB" w:rsidRPr="00890FEA" w:rsidSect="00890F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52"/>
    <w:rsid w:val="00026A75"/>
    <w:rsid w:val="000422F5"/>
    <w:rsid w:val="00067DA1"/>
    <w:rsid w:val="00093CE4"/>
    <w:rsid w:val="000A7B18"/>
    <w:rsid w:val="000B04C4"/>
    <w:rsid w:val="000B2E16"/>
    <w:rsid w:val="000C47D2"/>
    <w:rsid w:val="000D0C65"/>
    <w:rsid w:val="000D22B4"/>
    <w:rsid w:val="00116E16"/>
    <w:rsid w:val="00133DE9"/>
    <w:rsid w:val="00153BD5"/>
    <w:rsid w:val="00154537"/>
    <w:rsid w:val="00161065"/>
    <w:rsid w:val="0018513D"/>
    <w:rsid w:val="001E22A1"/>
    <w:rsid w:val="001F3A5C"/>
    <w:rsid w:val="001F71AB"/>
    <w:rsid w:val="00200367"/>
    <w:rsid w:val="002147D9"/>
    <w:rsid w:val="00235D1E"/>
    <w:rsid w:val="00245A9F"/>
    <w:rsid w:val="00253CCE"/>
    <w:rsid w:val="00276C13"/>
    <w:rsid w:val="002A03C5"/>
    <w:rsid w:val="002A6983"/>
    <w:rsid w:val="002B745D"/>
    <w:rsid w:val="002C225A"/>
    <w:rsid w:val="00303B9D"/>
    <w:rsid w:val="003074F2"/>
    <w:rsid w:val="0033229E"/>
    <w:rsid w:val="00335FA1"/>
    <w:rsid w:val="003368BC"/>
    <w:rsid w:val="00352E75"/>
    <w:rsid w:val="0037502A"/>
    <w:rsid w:val="00375E4A"/>
    <w:rsid w:val="00377B0E"/>
    <w:rsid w:val="00384F40"/>
    <w:rsid w:val="003A3FD4"/>
    <w:rsid w:val="003B4046"/>
    <w:rsid w:val="003D1C25"/>
    <w:rsid w:val="003E5810"/>
    <w:rsid w:val="003F0156"/>
    <w:rsid w:val="0041393F"/>
    <w:rsid w:val="00417736"/>
    <w:rsid w:val="00427ADC"/>
    <w:rsid w:val="00464EA6"/>
    <w:rsid w:val="00465EA8"/>
    <w:rsid w:val="00472424"/>
    <w:rsid w:val="004830A6"/>
    <w:rsid w:val="00496557"/>
    <w:rsid w:val="004A050C"/>
    <w:rsid w:val="004A6683"/>
    <w:rsid w:val="004F4610"/>
    <w:rsid w:val="00500DA6"/>
    <w:rsid w:val="00505FE2"/>
    <w:rsid w:val="00523040"/>
    <w:rsid w:val="00562DDA"/>
    <w:rsid w:val="0056460E"/>
    <w:rsid w:val="00587F35"/>
    <w:rsid w:val="00592C13"/>
    <w:rsid w:val="00593AB0"/>
    <w:rsid w:val="005963C3"/>
    <w:rsid w:val="005D0D2D"/>
    <w:rsid w:val="005F5DCD"/>
    <w:rsid w:val="00616451"/>
    <w:rsid w:val="00622C5F"/>
    <w:rsid w:val="006240EC"/>
    <w:rsid w:val="00641D0A"/>
    <w:rsid w:val="006438CF"/>
    <w:rsid w:val="0064599D"/>
    <w:rsid w:val="006516F1"/>
    <w:rsid w:val="0067170E"/>
    <w:rsid w:val="006837F3"/>
    <w:rsid w:val="006A00C6"/>
    <w:rsid w:val="006A0962"/>
    <w:rsid w:val="006B7DA0"/>
    <w:rsid w:val="006C2B87"/>
    <w:rsid w:val="006C70B5"/>
    <w:rsid w:val="006D4C47"/>
    <w:rsid w:val="006E0076"/>
    <w:rsid w:val="00700749"/>
    <w:rsid w:val="007102F5"/>
    <w:rsid w:val="00710A58"/>
    <w:rsid w:val="007158CC"/>
    <w:rsid w:val="00731542"/>
    <w:rsid w:val="00733BAF"/>
    <w:rsid w:val="00750E7B"/>
    <w:rsid w:val="00751DB8"/>
    <w:rsid w:val="00772CA6"/>
    <w:rsid w:val="00777C36"/>
    <w:rsid w:val="00791CC1"/>
    <w:rsid w:val="0079284E"/>
    <w:rsid w:val="00795E76"/>
    <w:rsid w:val="007A2967"/>
    <w:rsid w:val="007B78A8"/>
    <w:rsid w:val="007C47E5"/>
    <w:rsid w:val="008311EB"/>
    <w:rsid w:val="00866B03"/>
    <w:rsid w:val="00872952"/>
    <w:rsid w:val="00890FEA"/>
    <w:rsid w:val="00891630"/>
    <w:rsid w:val="008B25E9"/>
    <w:rsid w:val="008B4ABF"/>
    <w:rsid w:val="008B4CD1"/>
    <w:rsid w:val="008B76A4"/>
    <w:rsid w:val="008D09BB"/>
    <w:rsid w:val="008E0B8C"/>
    <w:rsid w:val="009305AB"/>
    <w:rsid w:val="00933A57"/>
    <w:rsid w:val="00937DD1"/>
    <w:rsid w:val="00941BB6"/>
    <w:rsid w:val="00967185"/>
    <w:rsid w:val="009835B8"/>
    <w:rsid w:val="00991840"/>
    <w:rsid w:val="00991A2C"/>
    <w:rsid w:val="009A1A09"/>
    <w:rsid w:val="009A7B2D"/>
    <w:rsid w:val="009C2760"/>
    <w:rsid w:val="009C3E57"/>
    <w:rsid w:val="00A0125A"/>
    <w:rsid w:val="00A1513D"/>
    <w:rsid w:val="00A172F1"/>
    <w:rsid w:val="00A332EC"/>
    <w:rsid w:val="00A6468A"/>
    <w:rsid w:val="00A75019"/>
    <w:rsid w:val="00A84990"/>
    <w:rsid w:val="00AB43C6"/>
    <w:rsid w:val="00AE6428"/>
    <w:rsid w:val="00AE7F1D"/>
    <w:rsid w:val="00AF7F08"/>
    <w:rsid w:val="00B07A10"/>
    <w:rsid w:val="00B23EB4"/>
    <w:rsid w:val="00B24D9C"/>
    <w:rsid w:val="00B329B5"/>
    <w:rsid w:val="00B750AB"/>
    <w:rsid w:val="00B878AF"/>
    <w:rsid w:val="00B97B20"/>
    <w:rsid w:val="00B97BAE"/>
    <w:rsid w:val="00BB1053"/>
    <w:rsid w:val="00BE19FC"/>
    <w:rsid w:val="00C56036"/>
    <w:rsid w:val="00C92138"/>
    <w:rsid w:val="00C926C7"/>
    <w:rsid w:val="00CA1AEB"/>
    <w:rsid w:val="00CB272A"/>
    <w:rsid w:val="00CB37F9"/>
    <w:rsid w:val="00CC412D"/>
    <w:rsid w:val="00CE012E"/>
    <w:rsid w:val="00CF0A74"/>
    <w:rsid w:val="00CF1C52"/>
    <w:rsid w:val="00D35B92"/>
    <w:rsid w:val="00D42D22"/>
    <w:rsid w:val="00D43814"/>
    <w:rsid w:val="00D46117"/>
    <w:rsid w:val="00D66B23"/>
    <w:rsid w:val="00D72E21"/>
    <w:rsid w:val="00D94FA0"/>
    <w:rsid w:val="00DD6E24"/>
    <w:rsid w:val="00E043DA"/>
    <w:rsid w:val="00E32064"/>
    <w:rsid w:val="00E453A3"/>
    <w:rsid w:val="00EB29C5"/>
    <w:rsid w:val="00EC36CA"/>
    <w:rsid w:val="00EC69A9"/>
    <w:rsid w:val="00ED2EE5"/>
    <w:rsid w:val="00F37AE1"/>
    <w:rsid w:val="00F47B93"/>
    <w:rsid w:val="00F8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CA43"/>
  <w15:chartTrackingRefBased/>
  <w15:docId w15:val="{BA1455CC-2180-4A1B-8814-0D2163AE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Jirong</dc:creator>
  <cp:keywords/>
  <dc:description/>
  <cp:lastModifiedBy>Yi, Jirong</cp:lastModifiedBy>
  <cp:revision>150</cp:revision>
  <cp:lastPrinted>2019-03-07T20:35:00Z</cp:lastPrinted>
  <dcterms:created xsi:type="dcterms:W3CDTF">2019-02-20T16:13:00Z</dcterms:created>
  <dcterms:modified xsi:type="dcterms:W3CDTF">2019-03-07T21:03:00Z</dcterms:modified>
</cp:coreProperties>
</file>