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Form 1040 Engagement Letter — Starter Framework</w:t>
      </w:r>
    </w:p>
    <w:p>
      <w:pPr>
        <w:spacing w:after="300"/>
      </w:pPr>
      <w:r>
        <w:rPr>
          <w:b/>
          <w:bCs/>
          <w:i/>
          <w:iCs/>
        </w:rPr>
        <w:t xml:space="preserve">This is a structural outline, not a finished letter. Every bracketed prompt needs your firm’s own language, reviewed by your attorney or professional liability insurer before this is used with a real client. JAMM PX provides the structure. Your firm provides the legal language.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[Firm letterhead]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[Date]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[Client name(s) — use separate letters for spouses, adult children, or related entities you don’t intend to jointly represent]</w:t>
      </w:r>
    </w:p>
    <w:p>
      <w:pPr>
        <w:spacing w:after="200" w:before="200"/>
      </w:pPr>
      <w:r>
        <w:rPr>
          <w:b/>
          <w:bCs/>
        </w:rPr>
        <w:t xml:space="preserve">Re: Engagement to Prepare [Tax Year] Individual Income Tax Return</w:t>
      </w:r>
    </w:p>
    <w:p>
      <w:pPr>
        <w:spacing w:after="60" w:before="200"/>
      </w:pPr>
      <w:r>
        <w:rPr>
          <w:b/>
          <w:bCs/>
        </w:rPr>
        <w:t xml:space="preserve">Parties and purpose</w:t>
      </w:r>
    </w:p>
    <w:p>
      <w:pPr>
        <w:spacing w:after="100"/>
      </w:pPr>
      <w:r>
        <w:rPr>
          <w:i/>
          <w:iCs/>
        </w:rPr>
        <w:t xml:space="preserve">State who this letter is between, and that its purpose is preparing the named return(s). Name the client exactly as they’ll appear on the return.</w:t>
      </w:r>
    </w:p>
    <w:p>
      <w:pPr>
        <w:spacing w:after="60" w:before="200"/>
      </w:pPr>
      <w:r>
        <w:rPr>
          <w:b/>
          <w:bCs/>
        </w:rPr>
        <w:t xml:space="preserve">Scope — what’s included</w:t>
      </w:r>
    </w:p>
    <w:p>
      <w:pPr>
        <w:spacing w:after="100"/>
      </w:pPr>
      <w:r>
        <w:rPr>
          <w:i/>
          <w:iCs/>
        </w:rPr>
        <w:t xml:space="preserve">List the exact federal form and schedules, and every state/local return by name. Don’t write "all required returns." State whether extension preparation is included. State whether your firm will e-file, and what authorization you need from the client to do that.</w:t>
      </w:r>
    </w:p>
    <w:p>
      <w:pPr>
        <w:spacing w:after="60" w:before="200"/>
      </w:pPr>
      <w:r>
        <w:rPr>
          <w:b/>
          <w:bCs/>
        </w:rPr>
        <w:t xml:space="preserve">Scope — what’s not included</w:t>
      </w:r>
    </w:p>
    <w:p>
      <w:pPr>
        <w:spacing w:after="100"/>
      </w:pPr>
      <w:r>
        <w:rPr>
          <w:i/>
          <w:iCs/>
        </w:rPr>
        <w:t xml:space="preserve">Name what this engagement does not cover: other states, other years, amended returns, tax planning, notice response, audit representation, bookkeeping, entity returns, anything else the client might assume is included but isn’t. [Consult counsel: some firms use a standard exclusions list across all individual engagements — decide if yours should.]</w:t>
      </w:r>
    </w:p>
    <w:p>
      <w:pPr>
        <w:spacing w:after="60" w:before="200"/>
      </w:pPr>
      <w:r>
        <w:rPr>
          <w:b/>
          <w:bCs/>
        </w:rPr>
        <w:t xml:space="preserve">Our responsibilities</w:t>
      </w:r>
    </w:p>
    <w:p>
      <w:pPr>
        <w:spacing w:after="100"/>
      </w:pPr>
      <w:r>
        <w:rPr>
          <w:i/>
          <w:iCs/>
        </w:rPr>
        <w:t xml:space="preserve">Describe how you’ll prepare the return: from client-provided information, using professional judgment on positions taken, making inquiries when something looks off. [Consult counsel: reference your applicable professional standards — AICPA SSTS, Circular 230, or your state’s rules, whichever actually apply to your credential.]</w:t>
      </w:r>
    </w:p>
    <w:p>
      <w:pPr>
        <w:spacing w:after="60" w:before="200"/>
      </w:pPr>
      <w:r>
        <w:rPr>
          <w:b/>
          <w:bCs/>
        </w:rPr>
        <w:t xml:space="preserve">Client responsibilities</w:t>
      </w:r>
    </w:p>
    <w:p>
      <w:pPr>
        <w:spacing w:after="100"/>
      </w:pPr>
      <w:r>
        <w:rPr>
          <w:i/>
          <w:iCs/>
        </w:rPr>
        <w:t xml:space="preserve">State what the client owes you: complete and accurate information, all relevant documents, prompt answers to follow-up questions, final review of the completed return before it’s filed, responsibility for paying tax and estimates on time.</w:t>
      </w:r>
    </w:p>
    <w:p>
      <w:pPr>
        <w:spacing w:after="60" w:before="200"/>
      </w:pPr>
      <w:r>
        <w:rPr>
          <w:b/>
          <w:bCs/>
        </w:rPr>
        <w:t xml:space="preserve">No assurance</w:t>
      </w:r>
    </w:p>
    <w:p>
      <w:pPr>
        <w:spacing w:after="100"/>
      </w:pPr>
      <w:r>
        <w:rPr>
          <w:i/>
          <w:iCs/>
        </w:rPr>
        <w:t xml:space="preserve">State plainly that this isn’t an audit of the client’s information, and that you’re not verifying what they give you beyond reasonable inquiry.</w:t>
      </w:r>
    </w:p>
    <w:p>
      <w:pPr>
        <w:spacing w:after="60" w:before="200"/>
      </w:pPr>
      <w:r>
        <w:rPr>
          <w:b/>
          <w:bCs/>
        </w:rPr>
        <w:t xml:space="preserve">When this engagement ends</w:t>
      </w:r>
    </w:p>
    <w:p>
      <w:pPr>
        <w:spacing w:after="100"/>
      </w:pPr>
      <w:r>
        <w:rPr>
          <w:i/>
          <w:iCs/>
        </w:rPr>
        <w:t xml:space="preserve">State when you consider the engagement complete — typically after delivery and filing of the named return(s), or after delivery for client self-filing. [Consult counsel: be specific here, this is one of the most commonly under-specified sections.]</w:t>
      </w:r>
    </w:p>
    <w:p>
      <w:pPr>
        <w:spacing w:after="60" w:before="200"/>
      </w:pPr>
      <w:r>
        <w:rPr>
          <w:b/>
          <w:bCs/>
        </w:rPr>
        <w:t xml:space="preserve">Fees</w:t>
      </w:r>
    </w:p>
    <w:p>
      <w:pPr>
        <w:spacing w:after="100"/>
      </w:pPr>
      <w:r>
        <w:rPr>
          <w:i/>
          <w:iCs/>
        </w:rPr>
        <w:t xml:space="preserve">State your fee basis and what triggers additional charges — extra forms, disorganized records, additional states, rush work. [Consult counsel or your own pricing policy for the actual numbers and terms.]</w:t>
      </w:r>
    </w:p>
    <w:p>
      <w:pPr>
        <w:spacing w:after="60" w:before="200"/>
      </w:pPr>
      <w:r>
        <w:rPr>
          <w:b/>
          <w:bCs/>
        </w:rPr>
        <w:t xml:space="preserve">Confidentiality and data</w:t>
      </w:r>
    </w:p>
    <w:p>
      <w:pPr>
        <w:spacing w:after="100"/>
      </w:pPr>
      <w:r>
        <w:rPr>
          <w:i/>
          <w:iCs/>
        </w:rPr>
        <w:t xml:space="preserve">Describe how client information is protected, what systems/portal you use, and your record retention period.</w:t>
      </w:r>
    </w:p>
    <w:p>
      <w:pPr>
        <w:spacing w:after="60" w:before="200"/>
      </w:pPr>
      <w:r>
        <w:rPr>
          <w:b/>
          <w:bCs/>
        </w:rPr>
        <w:t xml:space="preserve">[If applicable] Section 7216 consent</w:t>
      </w:r>
    </w:p>
    <w:p>
      <w:pPr>
        <w:spacing w:after="100"/>
      </w:pPr>
      <w:r>
        <w:rPr>
          <w:i/>
          <w:iCs/>
        </w:rPr>
        <w:t xml:space="preserve">If tax return information will be used or disclosed for anything beyond preparing the return itself, this needs a separate, properly worded consent — not buried in this letter. [This section requires counsel review; the IRS prescribes specific content for valid 7216 consent.]</w:t>
      </w:r>
    </w:p>
    <w:p>
      <w:pPr>
        <w:spacing w:after="60" w:before="200"/>
      </w:pPr>
      <w:r>
        <w:rPr>
          <w:b/>
          <w:bCs/>
        </w:rPr>
        <w:t xml:space="preserve">Legal terms</w:t>
      </w:r>
    </w:p>
    <w:p>
      <w:pPr>
        <w:spacing w:after="100"/>
      </w:pPr>
      <w:r>
        <w:rPr>
          <w:i/>
          <w:iCs/>
        </w:rPr>
        <w:t xml:space="preserve">[Consult counsel for: termination rights, governing law, dispute resolution, any limitation of liability language. These vary significantly by state and by what your insurer will actually support — do not copy generic versions of these clauses from another firm or template.]</w:t>
      </w:r>
    </w:p>
    <w:p>
      <w:pPr>
        <w:spacing w:after="150" w:before="300"/>
      </w:pPr>
      <w:r>
        <w:rPr>
          <w:b/>
          <w:bCs/>
        </w:rPr>
        <w:t xml:space="preserve">Acceptance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[Client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2026-09-23T14:59:41.228Z</dcterms:created>
  <dcterms:modified xsi:type="dcterms:W3CDTF">2026-09-23T14:59:41.228Z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